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ind w:firstLine="0" w:left="0"/>
        <w:jc w:val="center"/>
      </w:pPr>
      <w:r>
        <w:rPr>
          <w:rFonts w:ascii="Times New Roman" w:hAnsi="Times New Roman" w:eastAsia="Times New Roman" w:cs="Times New Roman"/>
          <w:b/>
          <w:sz w:val="28"/>
        </w:rPr>
        <w:t>ПУБЛИЧНАЯ ОФЕРТА</w:t>
      </w:r>
    </w:p>
    <w:p>
      <w:pPr>
        <w:spacing w:before="0" w:after="120"/>
        <w:ind w:firstLine="0" w:left="0"/>
        <w:jc w:val="center"/>
      </w:pPr>
      <w:r>
        <w:rPr>
          <w:rFonts w:ascii="Times New Roman" w:hAnsi="Times New Roman" w:eastAsia="Times New Roman" w:cs="Times New Roman"/>
          <w:b/>
          <w:sz w:val="24"/>
        </w:rPr>
        <w:t>о заключении договора на предоставление доступа к онлайн-сервису «Тендик»</w:t>
      </w:r>
    </w:p>
    <w:p>
      <w:pPr>
        <w:spacing w:before="0" w:after="0"/>
        <w:ind w:firstLine="0" w:left="0"/>
        <w:jc w:val="left"/>
      </w:pPr>
      <w:r>
        <w:rPr>
          <w:rFonts w:ascii="Times New Roman" w:hAnsi="Times New Roman" w:eastAsia="Times New Roman" w:cs="Times New Roman"/>
          <w:b w:val="0"/>
          <w:sz w:val="24"/>
        </w:rPr>
        <w:t>г. Санкт-Петербург</w:t>
      </w:r>
    </w:p>
    <w:p>
      <w:pPr>
        <w:spacing w:before="0" w:after="0"/>
        <w:ind w:firstLine="0" w:left="0"/>
        <w:jc w:val="left"/>
      </w:pPr>
      <w:r>
        <w:rPr>
          <w:rFonts w:ascii="Times New Roman" w:hAnsi="Times New Roman" w:eastAsia="Times New Roman" w:cs="Times New Roman"/>
          <w:b w:val="0"/>
          <w:color w:val="505A55"/>
          <w:sz w:val="22"/>
        </w:rPr>
        <w:t>Редакция № 16 от 13 октября 2026 г. Действует с момента размещения на Сайте.</w:t>
      </w:r>
    </w:p>
    <w:p>
      <w:pPr>
        <w:spacing w:before="240" w:after="120"/>
        <w:ind w:firstLine="0" w:left="0"/>
        <w:jc w:val="left"/>
      </w:pPr>
      <w:r>
        <w:rPr>
          <w:rFonts w:ascii="Times New Roman" w:hAnsi="Times New Roman" w:eastAsia="Times New Roman" w:cs="Times New Roman"/>
          <w:b/>
          <w:sz w:val="24"/>
        </w:rPr>
        <w:t>1. Общие положения и термины</w:t>
      </w:r>
    </w:p>
    <w:p>
      <w:pPr>
        <w:spacing w:before="0" w:after="0"/>
        <w:ind w:firstLine="709" w:left="0"/>
      </w:pPr>
      <w:r>
        <w:rPr>
          <w:rFonts w:ascii="Times New Roman" w:hAnsi="Times New Roman" w:eastAsia="Times New Roman" w:cs="Times New Roman"/>
          <w:b w:val="0"/>
          <w:sz w:val="24"/>
        </w:rPr>
        <w:t>1.1. Настоящий документ является офертой (ст. 435, п. 2 ст. 437 Гражданского кодекса Российской Федерации) Общества с ограниченной ответственностью «ТЕНДИК» (ОГРН 1267800063630, ИНН 7806637140, КПП 780601001, адрес: 195027, г. Санкт-Петербург, вн.тер.г. муниципальный округ Большая Охта, ул. Магнитогорская, д. 51, литера А, помещ. 2Н/3Н; электронная почта: support@tendik.ru; телефон: +7 993 077-01-68; сайт: https://tendik.ru) и содержит все существенные условия договора на предоставление доступа к онлайн-сервису «Тендик». Оферта подписана от имени Исполнителя генеральным директором Гундыревым Максимом Алексеевичем, действующим на основании типового устава № 21, утверждённого приказом Минэкономразвития России от 01.08.2018 № 411. Сведения, указанные в настоящем пункте и в разделе 16 Оферты, являются сведениями о владельце Сайта, размещаемыми в соответствии с частью 2 статьи 10 Федерального закона от 27.07.2006 № 149-ФЗ «Об информации, информационных технологиях и о защите информации». Единым адресом электронной почты для направления Исполнителю юридически значимых сообщений, заявлений, запросов и претензий является support@tendik.ru.</w:t>
      </w:r>
    </w:p>
    <w:p>
      <w:pPr>
        <w:spacing w:before="0" w:after="0"/>
        <w:ind w:firstLine="709" w:left="0"/>
      </w:pPr>
      <w:r>
        <w:rPr>
          <w:rFonts w:ascii="Times New Roman" w:hAnsi="Times New Roman" w:eastAsia="Times New Roman" w:cs="Times New Roman"/>
          <w:b w:val="0"/>
          <w:sz w:val="24"/>
        </w:rPr>
        <w:t>1.2. В Оферте используются следующие термины:</w:t>
      </w:r>
    </w:p>
    <w:p>
      <w:pPr>
        <w:spacing w:before="0" w:after="0"/>
        <w:ind w:firstLine="709" w:left="0"/>
      </w:pPr>
      <w:r>
        <w:rPr>
          <w:rFonts w:ascii="Times New Roman" w:hAnsi="Times New Roman" w:eastAsia="Times New Roman" w:cs="Times New Roman"/>
          <w:b w:val="0"/>
          <w:sz w:val="24"/>
        </w:rPr>
        <w:t>Оферта — настоящий документ со всеми приложениями и сведениями, являющимися его неотъемлемой частью в силу прямого указания в тексте.</w:t>
      </w:r>
    </w:p>
    <w:p>
      <w:pPr>
        <w:spacing w:before="0" w:after="0"/>
        <w:ind w:firstLine="709" w:left="0"/>
      </w:pPr>
      <w:r>
        <w:rPr>
          <w:rFonts w:ascii="Times New Roman" w:hAnsi="Times New Roman" w:eastAsia="Times New Roman" w:cs="Times New Roman"/>
          <w:b w:val="0"/>
          <w:sz w:val="24"/>
        </w:rPr>
        <w:t>Договор — договор возмездного оказания услуг, заключаемый путём акцепта Оферты на её условиях.</w:t>
      </w:r>
    </w:p>
    <w:p>
      <w:pPr>
        <w:spacing w:before="0" w:after="0"/>
        <w:ind w:firstLine="709" w:left="0"/>
      </w:pPr>
      <w:r>
        <w:rPr>
          <w:rFonts w:ascii="Times New Roman" w:hAnsi="Times New Roman" w:eastAsia="Times New Roman" w:cs="Times New Roman"/>
          <w:b w:val="0"/>
          <w:sz w:val="24"/>
        </w:rPr>
        <w:t>Исполнитель — ООО «ТЕНДИК», реквизиты которого указаны в п. 1.1 и разделе 16 Оферты.</w:t>
      </w:r>
    </w:p>
    <w:p>
      <w:pPr>
        <w:spacing w:before="0" w:after="0"/>
        <w:ind w:firstLine="709" w:left="0"/>
      </w:pPr>
      <w:r>
        <w:rPr>
          <w:rFonts w:ascii="Times New Roman" w:hAnsi="Times New Roman" w:eastAsia="Times New Roman" w:cs="Times New Roman"/>
          <w:b w:val="0"/>
          <w:sz w:val="24"/>
        </w:rPr>
        <w:t>Сервис — онлайн-сервис «Тендик»: совокупность программ для ЭВМ и баз данных Исполнителя, доступная через Сайт и предназначенная для поиска закупок, размещённых в открытых источниках, автоматизированного анализа (просчёта) их позиций и организации работы Заказчика с поставщиками.</w:t>
      </w:r>
    </w:p>
    <w:p>
      <w:pPr>
        <w:spacing w:before="0" w:after="0"/>
        <w:ind w:firstLine="709" w:left="0"/>
      </w:pPr>
      <w:r>
        <w:rPr>
          <w:rFonts w:ascii="Times New Roman" w:hAnsi="Times New Roman" w:eastAsia="Times New Roman" w:cs="Times New Roman"/>
          <w:b w:val="0"/>
          <w:sz w:val="24"/>
        </w:rPr>
        <w:t>Сайт — сайт в сети Интернет по адресу https://tendik.ru, включая его поддомены.</w:t>
      </w:r>
    </w:p>
    <w:p>
      <w:pPr>
        <w:spacing w:before="0" w:after="0"/>
        <w:ind w:firstLine="709" w:left="0"/>
      </w:pPr>
      <w:r>
        <w:rPr>
          <w:rFonts w:ascii="Times New Roman" w:hAnsi="Times New Roman" w:eastAsia="Times New Roman" w:cs="Times New Roman"/>
          <w:b w:val="0"/>
          <w:sz w:val="24"/>
        </w:rPr>
        <w:t>Заказчик — юридическое лицо, индивидуальный предприниматель или физическое лицо, заключившие Договор в порядке, установленном разделом 3 Оферты.</w:t>
      </w:r>
    </w:p>
    <w:p>
      <w:pPr>
        <w:spacing w:before="0" w:after="0"/>
        <w:ind w:firstLine="709" w:left="0"/>
      </w:pPr>
      <w:r>
        <w:rPr>
          <w:rFonts w:ascii="Times New Roman" w:hAnsi="Times New Roman" w:eastAsia="Times New Roman" w:cs="Times New Roman"/>
          <w:b w:val="0"/>
          <w:sz w:val="24"/>
        </w:rPr>
        <w:t>заказчик Закупки — лицо, проводящее Закупку. Этот термин не совпадает с термином «Заказчик» и всегда употребляется со словом «Закупки».</w:t>
      </w:r>
    </w:p>
    <w:p>
      <w:pPr>
        <w:spacing w:before="0" w:after="0"/>
        <w:ind w:firstLine="709" w:left="0"/>
      </w:pPr>
      <w:r>
        <w:rPr>
          <w:rFonts w:ascii="Times New Roman" w:hAnsi="Times New Roman" w:eastAsia="Times New Roman" w:cs="Times New Roman"/>
          <w:b w:val="0"/>
          <w:sz w:val="24"/>
        </w:rPr>
        <w:t>Заказчик-потребитель — Заказчик, являющийся физическим лицом и заключивший Договор для нужд, не связанных с осуществлением предпринимательской деятельности. К отношениям с Заказчиком-потребителем применяются особенности, установленные разделом 15 Оферты; при противоречии между разделом 15 и иными положениями Оферты применяется раздел 15. Предполагается, пока не доказано иное, что Заказчик, в Личном кабинете которого указан ИНН организации или индивидуального предпринимателя, заключил Договор в целях, связанных с осуществлением предпринимательской деятельности.</w:t>
      </w:r>
    </w:p>
    <w:p>
      <w:pPr>
        <w:spacing w:before="0" w:after="0"/>
        <w:ind w:firstLine="709" w:left="0"/>
      </w:pPr>
      <w:r>
        <w:rPr>
          <w:rFonts w:ascii="Times New Roman" w:hAnsi="Times New Roman" w:eastAsia="Times New Roman" w:cs="Times New Roman"/>
          <w:b w:val="0"/>
          <w:sz w:val="24"/>
        </w:rPr>
        <w:t>Пользователь — физическое лицо, использующее Сервис через Личный кабинет Заказчика: сам Заказчик, если Заказчиком является физическое лицо или индивидуальный предприниматель, либо лицо, уполномоченное Заказчиком на использование Сервиса от его имени.</w:t>
      </w:r>
    </w:p>
    <w:p>
      <w:pPr>
        <w:spacing w:before="0" w:after="0"/>
        <w:ind w:firstLine="709" w:left="0"/>
      </w:pPr>
      <w:r>
        <w:rPr>
          <w:rFonts w:ascii="Times New Roman" w:hAnsi="Times New Roman" w:eastAsia="Times New Roman" w:cs="Times New Roman"/>
          <w:b w:val="0"/>
          <w:sz w:val="24"/>
        </w:rPr>
        <w:t>Согласующий — Пользователь Заказчика с ролью администратора, которому Сервис по распоряжению Заказчика направил одноразовую ссылку на экран согласования Закупки для принятия решения от имени Заказчика. Круг таких лиц Заказчик определяет в Личном кабинете.</w:t>
      </w:r>
    </w:p>
    <w:p>
      <w:pPr>
        <w:spacing w:before="0" w:after="0"/>
        <w:ind w:firstLine="709" w:left="0"/>
      </w:pPr>
      <w:r>
        <w:rPr>
          <w:rFonts w:ascii="Times New Roman" w:hAnsi="Times New Roman" w:eastAsia="Times New Roman" w:cs="Times New Roman"/>
          <w:b w:val="0"/>
          <w:sz w:val="24"/>
        </w:rPr>
        <w:t>Личный кабинет — закрытый раздел Сервиса, доступ к которому предоставляется после регистрации по адресу электронной почты.</w:t>
      </w:r>
    </w:p>
    <w:p>
      <w:pPr>
        <w:spacing w:before="0" w:after="0"/>
        <w:ind w:firstLine="709" w:left="0"/>
      </w:pPr>
      <w:r>
        <w:rPr>
          <w:rFonts w:ascii="Times New Roman" w:hAnsi="Times New Roman" w:eastAsia="Times New Roman" w:cs="Times New Roman"/>
          <w:b w:val="0"/>
          <w:sz w:val="24"/>
        </w:rPr>
        <w:t>Закупка — процедура закупки товаров, работ или услуг, сведения о которой размещены в открытых источниках (в том числе в единой информационной системе в сфере закупок и на электронных торговых площадках), а также закупка Заказчика, сведения о которой Заказчик загрузил в Сервис самостоятельно.</w:t>
      </w:r>
    </w:p>
    <w:p>
      <w:pPr>
        <w:spacing w:before="0" w:after="0"/>
        <w:ind w:firstLine="709" w:left="0"/>
      </w:pPr>
      <w:r>
        <w:rPr>
          <w:rFonts w:ascii="Times New Roman" w:hAnsi="Times New Roman" w:eastAsia="Times New Roman" w:cs="Times New Roman"/>
          <w:b w:val="0"/>
          <w:sz w:val="24"/>
        </w:rPr>
        <w:t>Позиция — отдельная строка спецификации (товарная позиция) Закупки, обработанная Сервисом в рамках Просчёта. Позицией измеряется объём Пула Ступени, а также определяется стоимость дополнительно приобретаемых Позиций.</w:t>
      </w:r>
    </w:p>
    <w:p>
      <w:pPr>
        <w:spacing w:before="0" w:after="0"/>
        <w:ind w:firstLine="709" w:left="0"/>
      </w:pPr>
      <w:r>
        <w:rPr>
          <w:rFonts w:ascii="Times New Roman" w:hAnsi="Times New Roman" w:eastAsia="Times New Roman" w:cs="Times New Roman"/>
          <w:b w:val="0"/>
          <w:sz w:val="24"/>
        </w:rPr>
        <w:t>Просчёт — автоматизированный анализ Закупки, выполняемый Сервисом по заданию Пользователя.</w:t>
      </w:r>
    </w:p>
    <w:p>
      <w:pPr>
        <w:spacing w:before="0" w:after="0"/>
        <w:ind w:firstLine="709" w:left="0"/>
      </w:pPr>
      <w:r>
        <w:rPr>
          <w:rFonts w:ascii="Times New Roman" w:hAnsi="Times New Roman" w:eastAsia="Times New Roman" w:cs="Times New Roman"/>
          <w:b w:val="0"/>
          <w:sz w:val="24"/>
        </w:rPr>
        <w:t>Отчёт — результат Просчёта: сведения о Позициях Закупки, ценах, учтённых Сервисом, и расчётных показателях. Отчёт предоставляется в Личном кабинете, а также может выгружаться в виде файла и направляться в уведомлениях по электронной почте. Положения Оферты об Отчёте применяются к нему независимо от формы предоставления.</w:t>
      </w:r>
    </w:p>
    <w:p>
      <w:pPr>
        <w:spacing w:before="0" w:after="0"/>
        <w:ind w:firstLine="709" w:left="0"/>
      </w:pPr>
      <w:r>
        <w:rPr>
          <w:rFonts w:ascii="Times New Roman" w:hAnsi="Times New Roman" w:eastAsia="Times New Roman" w:cs="Times New Roman"/>
          <w:b w:val="0"/>
          <w:sz w:val="24"/>
        </w:rPr>
        <w:t>Поставщик — юридическое лицо, индивидуальный предприниматель или иное лицо, у которого Заказчик рассматривает возможность приобретения товаров, работ или услуг, необходимых для исполнения контракта по Закупке.</w:t>
      </w:r>
    </w:p>
    <w:p>
      <w:pPr>
        <w:spacing w:before="0" w:after="0"/>
        <w:ind w:firstLine="709" w:left="0"/>
      </w:pPr>
      <w:r>
        <w:rPr>
          <w:rFonts w:ascii="Times New Roman" w:hAnsi="Times New Roman" w:eastAsia="Times New Roman" w:cs="Times New Roman"/>
          <w:b w:val="0"/>
          <w:sz w:val="24"/>
        </w:rPr>
        <w:t>Почтовый ящик Заказчика — адрес электронной почты Заказчика, подключённый к Сервису в порядке раздела 5 Оферты, с которого Сервис направляет Запросы цен и в котором Сервис принимает Ответы поставщиков.</w:t>
      </w:r>
    </w:p>
    <w:p>
      <w:pPr>
        <w:spacing w:before="0" w:after="0"/>
        <w:ind w:firstLine="709" w:left="0"/>
      </w:pPr>
      <w:r>
        <w:rPr>
          <w:rFonts w:ascii="Times New Roman" w:hAnsi="Times New Roman" w:eastAsia="Times New Roman" w:cs="Times New Roman"/>
          <w:b w:val="0"/>
          <w:sz w:val="24"/>
        </w:rPr>
        <w:t>Запрос цен — письмо, направляемое Сервисом Поставщику с Почтового ящика Заказчика и от имени Заказчика с просьбой сообщить цены и условия поставки по Позициям.</w:t>
      </w:r>
    </w:p>
    <w:p>
      <w:pPr>
        <w:spacing w:before="0" w:after="0"/>
        <w:ind w:firstLine="709" w:left="0"/>
      </w:pPr>
      <w:r>
        <w:rPr>
          <w:rFonts w:ascii="Times New Roman" w:hAnsi="Times New Roman" w:eastAsia="Times New Roman" w:cs="Times New Roman"/>
          <w:b w:val="0"/>
          <w:sz w:val="24"/>
        </w:rPr>
        <w:t>Ответ поставщика — письмо Поставщика, поступившее в Почтовый ящик Заказчика в ответ на Запрос цен, вместе с приложенными к нему файлами.</w:t>
      </w:r>
    </w:p>
    <w:p>
      <w:pPr>
        <w:spacing w:before="0" w:after="0"/>
        <w:ind w:firstLine="709" w:left="0"/>
      </w:pPr>
      <w:r>
        <w:rPr>
          <w:rFonts w:ascii="Times New Roman" w:hAnsi="Times New Roman" w:eastAsia="Times New Roman" w:cs="Times New Roman"/>
          <w:b w:val="0"/>
          <w:sz w:val="24"/>
        </w:rPr>
        <w:t>Книга поставщиков — раздел Личного кабинета, в котором Заказчик ведёт сведения о Поставщиках: наименование, сайт, адрес электронной почты, контактное лицо.</w:t>
      </w:r>
    </w:p>
    <w:p>
      <w:pPr>
        <w:spacing w:before="0" w:after="0"/>
        <w:ind w:firstLine="709" w:left="0"/>
      </w:pPr>
      <w:r>
        <w:rPr>
          <w:rFonts w:ascii="Times New Roman" w:hAnsi="Times New Roman" w:eastAsia="Times New Roman" w:cs="Times New Roman"/>
          <w:b w:val="0"/>
          <w:sz w:val="24"/>
        </w:rPr>
        <w:t>Собственный прайс — загруженный Заказчиком в Личный кабинет перечень товаров с ценами Заказчика, используемый Сервисом при Просчёте.</w:t>
      </w:r>
    </w:p>
    <w:p>
      <w:pPr>
        <w:spacing w:before="0" w:after="0"/>
        <w:ind w:firstLine="709" w:left="0"/>
      </w:pPr>
      <w:r>
        <w:rPr>
          <w:rFonts w:ascii="Times New Roman" w:hAnsi="Times New Roman" w:eastAsia="Times New Roman" w:cs="Times New Roman"/>
          <w:b w:val="0"/>
          <w:sz w:val="24"/>
        </w:rPr>
        <w:t>Сайт поставщика — сайт в сети Интернет, который Сервис не опрашивает по умолчанию и который по указанию Заказчика подключается к его Просчётам в порядке раздела 6 Оферты и используется только в них.</w:t>
      </w:r>
    </w:p>
    <w:p>
      <w:pPr>
        <w:spacing w:before="0" w:after="0"/>
        <w:ind w:firstLine="709" w:left="0"/>
      </w:pPr>
      <w:r>
        <w:rPr>
          <w:rFonts w:ascii="Times New Roman" w:hAnsi="Times New Roman" w:eastAsia="Times New Roman" w:cs="Times New Roman"/>
          <w:b w:val="0"/>
          <w:sz w:val="24"/>
        </w:rPr>
        <w:t>Ступень (тариф, пакет) — совокупность условий предоставления доступа: размер Пула, стоимость одной Позиции, стоимость Периода, потолок числа строк Собственного прайса и число Сайтов поставщика, предоставляемых без дополнительной платы. Действующие Ступени приведены в Приложении № 1 к Оферте и публикуются на Сайте.</w:t>
      </w:r>
    </w:p>
    <w:p>
      <w:pPr>
        <w:spacing w:before="0" w:after="0"/>
        <w:ind w:firstLine="709" w:left="0"/>
      </w:pPr>
      <w:r>
        <w:rPr>
          <w:rFonts w:ascii="Times New Roman" w:hAnsi="Times New Roman" w:eastAsia="Times New Roman" w:cs="Times New Roman"/>
          <w:b w:val="0"/>
          <w:sz w:val="24"/>
        </w:rPr>
        <w:t>Пул — количество Позиций, доступное Заказчику для Просчётов в течение одного Периода согласно оплаченной Ступени.</w:t>
      </w:r>
    </w:p>
    <w:p>
      <w:pPr>
        <w:spacing w:before="0" w:after="0"/>
        <w:ind w:firstLine="709" w:left="0"/>
      </w:pPr>
      <w:r>
        <w:rPr>
          <w:rFonts w:ascii="Times New Roman" w:hAnsi="Times New Roman" w:eastAsia="Times New Roman" w:cs="Times New Roman"/>
          <w:b w:val="0"/>
          <w:sz w:val="24"/>
        </w:rPr>
        <w:t>Период — 30 (тридцать) календарных дней с момента предоставления (продления) доступа.</w:t>
      </w:r>
    </w:p>
    <w:p>
      <w:pPr>
        <w:spacing w:before="0" w:after="0"/>
        <w:ind w:firstLine="709" w:left="0"/>
      </w:pPr>
      <w:r>
        <w:rPr>
          <w:rFonts w:ascii="Times New Roman" w:hAnsi="Times New Roman" w:eastAsia="Times New Roman" w:cs="Times New Roman"/>
          <w:b w:val="0"/>
          <w:sz w:val="24"/>
        </w:rPr>
        <w:t>Пробные Позиции — Позиции, предоставляемые Исполнителем безвозмездно и однократно каждому Пользователю без оплаченного доступа в объёме и для числа Закупок, указанных в Приложении № 1 к Оферте.</w:t>
      </w:r>
    </w:p>
    <w:p>
      <w:pPr>
        <w:spacing w:before="0" w:after="0"/>
        <w:ind w:firstLine="709" w:left="0"/>
      </w:pPr>
      <w:r>
        <w:rPr>
          <w:rFonts w:ascii="Times New Roman" w:hAnsi="Times New Roman" w:eastAsia="Times New Roman" w:cs="Times New Roman"/>
          <w:b w:val="0"/>
          <w:sz w:val="24"/>
        </w:rPr>
        <w:t>Демо-доступ — безвозмездный ознакомительный доступ к Сервису в объёме и на срок, указанные в Приложении № 1 к Оферте, открываемый по решению Исполнителя.</w:t>
      </w:r>
    </w:p>
    <w:p>
      <w:pPr>
        <w:spacing w:before="0" w:after="0"/>
        <w:ind w:firstLine="709" w:left="0"/>
      </w:pPr>
      <w:r>
        <w:rPr>
          <w:rFonts w:ascii="Times New Roman" w:hAnsi="Times New Roman" w:eastAsia="Times New Roman" w:cs="Times New Roman"/>
          <w:b w:val="0"/>
          <w:sz w:val="24"/>
        </w:rPr>
        <w:t>Безвозмездный доступ — использование Сервиса без оплаты Ступени: Пробные Позиции и (или) Демо-доступ.</w:t>
      </w:r>
    </w:p>
    <w:p>
      <w:pPr>
        <w:spacing w:before="0" w:after="0"/>
        <w:ind w:firstLine="709" w:left="0"/>
      </w:pPr>
      <w:r>
        <w:rPr>
          <w:rFonts w:ascii="Times New Roman" w:hAnsi="Times New Roman" w:eastAsia="Times New Roman" w:cs="Times New Roman"/>
          <w:b w:val="0"/>
          <w:sz w:val="24"/>
        </w:rPr>
        <w:t>Закон о защите прав потребителей — Закон Российской Федерации от 07.02.1992 № 2300-1 «О защите прав потребителей».</w:t>
      </w:r>
    </w:p>
    <w:p>
      <w:pPr>
        <w:spacing w:before="0" w:after="0"/>
        <w:ind w:firstLine="709" w:left="0"/>
      </w:pPr>
      <w:r>
        <w:rPr>
          <w:rFonts w:ascii="Times New Roman" w:hAnsi="Times New Roman" w:eastAsia="Times New Roman" w:cs="Times New Roman"/>
          <w:b w:val="0"/>
          <w:sz w:val="24"/>
        </w:rPr>
        <w:t>1.3. Оферта размещается на Сайте и вступает в силу с момента размещения. Оферта является отзывной (ст. 436 ГК РФ): Исполнитель вправе отозвать её в любой момент до акцепта; положение об отзывности Оферты не применяется к Заказчику-потребителю (п. 15.2 Оферты). К отношениям сторон применяется редакция Оферты, действовавшая на дату акцепта (п. 3.2 Оферты), а при Безвозмездном доступе — на дату открытия доступа к Личному кабинету (п. 3.1.1 Оферты). При оплате очередного Периода, в том числе при автоматическом продлении доступа (п. 7.2.2 Оферты), применяется редакция, действовавшая на дату соответствующей оплаты, с учётом изменений, доведённых до Заказчика в порядке п. 1.4 Оферты. Принятая Заказчиком редакция фиксируется в журнале Сервиса.</w:t>
      </w:r>
    </w:p>
    <w:p>
      <w:pPr>
        <w:spacing w:before="0" w:after="0"/>
        <w:ind w:firstLine="709" w:left="0"/>
      </w:pPr>
      <w:r>
        <w:rPr>
          <w:rFonts w:ascii="Times New Roman" w:hAnsi="Times New Roman" w:eastAsia="Times New Roman" w:cs="Times New Roman"/>
          <w:b w:val="0"/>
          <w:sz w:val="24"/>
        </w:rPr>
        <w:t>1.4. Исполнитель вправе в одностороннем порядке изменять Оферту и тарифы. Изменения публикуются на Сайте и доводятся до Заказчика, имеющего действующий оплаченный доступ, по электронной почте не позднее чем за 15 (пятнадцать) календарных дней до вступления изменений в силу; уведомление содержит дату вступления изменений в силу и ссылку на новую редакцию. Изменённая редакция Оферты и изменённые тарифы применяются к Периодам, оплаченным после направления уведомления; на уже оплаченный Период новая редакция не распространяется, и он исполняется на прежних условиях. Оплата очередного Периода после получения уведомления означает согласие с изменениями. Заказчик, не согласный с изменениями, вправе не оплачивать очередной Период либо отказаться от Договора в порядке п. 12.2 Оферты. Ранее действовавшие редакции Оферты хранятся Исполнителем с указанием дат их действия и предоставляются по запросу Заказчика в течение 5 (пяти) рабочих дней с даты получения запроса, направленного на адрес support@tendik.ru.</w:t>
      </w:r>
    </w:p>
    <w:p>
      <w:pPr>
        <w:spacing w:before="0" w:after="0"/>
        <w:ind w:firstLine="709" w:left="0"/>
      </w:pPr>
      <w:r>
        <w:rPr>
          <w:rFonts w:ascii="Times New Roman" w:hAnsi="Times New Roman" w:eastAsia="Times New Roman" w:cs="Times New Roman"/>
          <w:b w:val="0"/>
          <w:sz w:val="24"/>
        </w:rPr>
        <w:t>1.5. Неотъемлемыми частями Договора являются: Приложение № 1 к Оферте «Тарифы» (приводится в тексте Оферты); Политика в отношении обработки персональных данных, размещённая на Сайте по адресу https://tendik.ru/politika-pdn.html; Правила партнёрской программы, размещённые по адресу https://tendik.ru/partnerka.html, — для Заказчиков, участвующих в партнёрской программе; условия оплаты, возврата и поддержки, размещённые по адресу https://tendik.ru/oplata.html. Каждый из указанных документов применяется в редакции, действующей на дату соответствующего акцепта или оплаты; порядок изменения этих документов установлен п. 1.4 Оферты. Согласие на обработку персональных данных, размещённое на Сайте по адресу https://tendik.ru/soglasie-pd.html, оформляется отдельным документом, не совмещённым с Офертой, и неотъемлемой частью Договора не является. Иные размещённые на Сайте материалы, включая информационные и рекламные, частью Договора не являются и обязательств Исполнителя не создают.</w:t>
      </w:r>
    </w:p>
    <w:p>
      <w:pPr>
        <w:spacing w:before="240" w:after="120"/>
        <w:ind w:firstLine="0" w:left="0"/>
        <w:jc w:val="left"/>
      </w:pPr>
      <w:r>
        <w:rPr>
          <w:rFonts w:ascii="Times New Roman" w:hAnsi="Times New Roman" w:eastAsia="Times New Roman" w:cs="Times New Roman"/>
          <w:b/>
          <w:sz w:val="24"/>
        </w:rPr>
        <w:t>2. Предмет Договора</w:t>
      </w:r>
    </w:p>
    <w:p>
      <w:pPr>
        <w:spacing w:before="0" w:after="0"/>
        <w:ind w:firstLine="709" w:left="0"/>
      </w:pPr>
      <w:r>
        <w:rPr>
          <w:rFonts w:ascii="Times New Roman" w:hAnsi="Times New Roman" w:eastAsia="Times New Roman" w:cs="Times New Roman"/>
          <w:b w:val="0"/>
          <w:sz w:val="24"/>
        </w:rPr>
        <w:t>2.1. Исполнитель обязуется предоставить Заказчику доступ к Сервису и оказывать с его помощью следующие услуги, а Заказчик обязуется оплачивать их в порядке, установленном Офертой:</w:t>
      </w:r>
    </w:p>
    <w:p>
      <w:pPr>
        <w:spacing w:before="0" w:after="0"/>
        <w:ind w:firstLine="0" w:left="709"/>
      </w:pPr>
      <w:r>
        <w:rPr>
          <w:rFonts w:ascii="Times New Roman" w:hAnsi="Times New Roman" w:eastAsia="Times New Roman" w:cs="Times New Roman"/>
          <w:b w:val="0"/>
          <w:sz w:val="24"/>
        </w:rPr>
        <w:t>— автоматизированный поиск Закупок по открытым источникам и предоставление сведений о них, включая карточку Закупки и аналитику по заказчику Закупки;</w:t>
      </w:r>
    </w:p>
    <w:p>
      <w:pPr>
        <w:spacing w:before="0" w:after="0"/>
        <w:ind w:firstLine="0" w:left="709"/>
      </w:pPr>
      <w:r>
        <w:rPr>
          <w:rFonts w:ascii="Times New Roman" w:hAnsi="Times New Roman" w:eastAsia="Times New Roman" w:cs="Times New Roman"/>
          <w:b w:val="0"/>
          <w:sz w:val="24"/>
        </w:rPr>
        <w:t>— Просчёт Позиций: поиск цен на товары Позиций в общедоступных источниках, в Собственном прайсе Заказчика и на подключённых Сайтах поставщика, расчёт себестоимости и производных показателей и предоставление Отчёта;</w:t>
      </w:r>
    </w:p>
    <w:p>
      <w:pPr>
        <w:spacing w:before="0" w:after="0"/>
        <w:ind w:firstLine="0" w:left="709"/>
      </w:pPr>
      <w:r>
        <w:rPr>
          <w:rFonts w:ascii="Times New Roman" w:hAnsi="Times New Roman" w:eastAsia="Times New Roman" w:cs="Times New Roman"/>
          <w:b w:val="0"/>
          <w:sz w:val="24"/>
        </w:rPr>
        <w:t>— работа с поставщиками в порядке раздела 5 Оферты: подключение Почтового ящика Заказчика, направление Запросов цен Поставщикам от имени Заказчика, приём и автоматизированный разбор Ответов поставщиков и приложенных к ним файлов, ведение Книги поставщиков и Собственного прайса;</w:t>
      </w:r>
    </w:p>
    <w:p>
      <w:pPr>
        <w:spacing w:before="0" w:after="0"/>
        <w:ind w:firstLine="0" w:left="709"/>
      </w:pPr>
      <w:r>
        <w:rPr>
          <w:rFonts w:ascii="Times New Roman" w:hAnsi="Times New Roman" w:eastAsia="Times New Roman" w:cs="Times New Roman"/>
          <w:b w:val="0"/>
          <w:sz w:val="24"/>
        </w:rPr>
        <w:t>— сопровождение работы Заказчика по Закупке: ведение Закупки по этапам от отбора до исполнения контракта и поступления оплаты, сроки и задачи по Закупке, обсуждение внутри организации Заказчика, согласование решения по одноразовой ссылке, уведомления по электронной почте и в подключённые Заказчиком чаты мессенджера Telegram, выгрузка Отчёта в файл, хранение истории Просчётов, разграничение прав Пользователей по ролям и личным лимитам Позиций.</w:t>
      </w:r>
    </w:p>
    <w:p>
      <w:pPr>
        <w:spacing w:before="0" w:after="0"/>
        <w:ind w:firstLine="709" w:left="0"/>
      </w:pPr>
      <w:r>
        <w:rPr>
          <w:rFonts w:ascii="Times New Roman" w:hAnsi="Times New Roman" w:eastAsia="Times New Roman" w:cs="Times New Roman"/>
          <w:b w:val="0"/>
          <w:sz w:val="24"/>
        </w:rPr>
        <w:t>2.2. Сведения о Закупках предоставляются Сервисом на основе открытых источников. Сервис является аналитическим инструментом: результаты Просчёта носят информационный характер, решения об участии в Закупках и о работе с Поставщиками Заказчик принимает самостоятельно.</w:t>
      </w:r>
    </w:p>
    <w:p>
      <w:pPr>
        <w:spacing w:before="0" w:after="0"/>
        <w:ind w:firstLine="709" w:left="0"/>
      </w:pPr>
      <w:r>
        <w:rPr>
          <w:rFonts w:ascii="Times New Roman" w:hAnsi="Times New Roman" w:eastAsia="Times New Roman" w:cs="Times New Roman"/>
          <w:b w:val="0"/>
          <w:sz w:val="24"/>
        </w:rPr>
        <w:t>2.3. Исключительные права на Сервис, его программный код, базы данных и элементы дизайна принадлежат Исполнителю. Исполнителю принадлежит исключительное право на его фирменное наименование (ст. 1473, 1474 ГК РФ). Права на результаты интеллектуальной деятельности и средства индивидуализации Исполнителя Заказчику не передаются. Заказчику предоставляется возможность использования функциональных возможностей Сервиса на срок оплаченного доступа в собственной хозяйственной деятельности, без права предоставлять доступ третьим лицам вне своей организации и без права перепродажи доступа. Исключительные и иные права Заказчика на загруженные им материалы, включая файлы Закупок и Собственный прайс, за Заказчиком сохраняются; Отчёты предоставляются Заказчику для использования в собственной хозяйственной деятельности, в том числе для представления заказчику Закупки и для обоснования собственного ценового предложения, без ограничения по сроку.</w:t>
      </w:r>
    </w:p>
    <w:p>
      <w:pPr>
        <w:spacing w:before="0" w:after="0"/>
        <w:ind w:firstLine="709" w:left="0"/>
      </w:pPr>
      <w:r>
        <w:rPr>
          <w:rFonts w:ascii="Times New Roman" w:hAnsi="Times New Roman" w:eastAsia="Times New Roman" w:cs="Times New Roman"/>
          <w:b w:val="0"/>
          <w:sz w:val="24"/>
        </w:rPr>
        <w:t>2.4. К отношениям сторон применяются правила главы 39 Гражданского кодекса Российской Федерации о возмездном оказании услуг. Предоставление доступа к Сервису является способом оказания услуг; отдельный лицензионный договор не заключается, исключительные права на Сервис Заказчику не передаются.</w:t>
      </w:r>
    </w:p>
    <w:p>
      <w:pPr>
        <w:spacing w:before="0" w:after="0"/>
        <w:ind w:firstLine="709" w:left="0"/>
      </w:pPr>
      <w:r>
        <w:rPr>
          <w:rFonts w:ascii="Times New Roman" w:hAnsi="Times New Roman" w:eastAsia="Times New Roman" w:cs="Times New Roman"/>
          <w:b w:val="0"/>
          <w:sz w:val="24"/>
        </w:rPr>
        <w:t>2.5. Договор является договором присоединения (ст. 428 ГК РФ) и заключается путём присоединения Заказчика к Оферте в целом. В части предоставления доступа с Пулом на Период Договор является абонентским договором (ст. 429.4 ГК РФ): плата за Период вносится за право требовать от Исполнителя исполнения в предусмотренном Ступенью объёме и не зависит от того, затребовал ли Заказчик исполнение и в каком объёме. Порядок списания Позиций из Пула (п. 4.3 Оферты) на размер платы за Период не влияет; последствия неиспользования Пула установлены п. 7.5 Оферты.</w:t>
      </w:r>
    </w:p>
    <w:p>
      <w:pPr>
        <w:spacing w:before="0" w:after="0"/>
        <w:ind w:firstLine="709" w:left="0"/>
      </w:pPr>
      <w:r>
        <w:rPr>
          <w:rFonts w:ascii="Times New Roman" w:hAnsi="Times New Roman" w:eastAsia="Times New Roman" w:cs="Times New Roman"/>
          <w:b w:val="0"/>
          <w:sz w:val="24"/>
        </w:rPr>
        <w:t>2.6. Отчёт не является: обоснованием начальной (максимальной) цены контракта в значении статьи 22 Федерального закона от 05.04.2013 № 44-ФЗ «О контрактной системе в сфере закупок товаров, работ, услуг для обеспечения государственных и муниципальных нужд»; обоснованием цены договора (лота) в значении положения о закупке, принятого заказчиком Закупки в соответствии с Федеральным законом от 18.07.2011 № 223-ФЗ «О закупках товаров, работ, услуг отдельными видами юридических лиц»; коммерческим предложением или офертой Исполнителя в значении статьи 435 ГК РФ; рекомендацией к участию в Закупке, к подаче заявки или к определению ценового предложения; отчётом об оценке в значении статьи 11 Федерального закона от 29.07.1998 № 135-ФЗ «Об оценочной деятельности в Российской Федерации», экспертным или аудиторским заключением.</w:t>
      </w:r>
    </w:p>
    <w:p>
      <w:pPr>
        <w:spacing w:before="0" w:after="0"/>
        <w:ind w:firstLine="709" w:left="0"/>
      </w:pPr>
      <w:r>
        <w:rPr>
          <w:rFonts w:ascii="Times New Roman" w:hAnsi="Times New Roman" w:eastAsia="Times New Roman" w:cs="Times New Roman"/>
          <w:b w:val="0"/>
          <w:sz w:val="24"/>
        </w:rPr>
        <w:t>2.7. Цены, включённые в Отчёт, отражают предложения третьих лиц, зафиксированные Сервисом на указанную в Отчёте дату, либо сведения, сообщённые самим Заказчиком в Собственном прайсе, либо цены, полученные из Ответов поставщиков (п. 5.8 Оферты). Такие цены могут не совпадать с ценой, по которой соответствующий товар доступен Заказчику на дату подачи заявки или исполнения контракта, в том числе вследствие изменения цен, отсутствия товара в наличии, различий в комплектации, минимальной партии, условиях и регионе поставки. Цены исполненных контрактов, полученные из открытых источников, приводятся в Отчёте справочно. Расчётные показатели, включая показатель маржи, являются арифметическим следствием учтённых цен и не являются прогнозом, гарантией или обещанием экономического результата.</w:t>
      </w:r>
    </w:p>
    <w:p>
      <w:pPr>
        <w:spacing w:before="0" w:after="0"/>
        <w:ind w:firstLine="709" w:left="0"/>
      </w:pPr>
      <w:r>
        <w:rPr>
          <w:rFonts w:ascii="Times New Roman" w:hAnsi="Times New Roman" w:eastAsia="Times New Roman" w:cs="Times New Roman"/>
          <w:b w:val="0"/>
          <w:sz w:val="24"/>
        </w:rPr>
        <w:t>2.8. Решение об участии в Закупке, о подаче заявки, о ценовом предложении, о выборе Поставщика и об условиях исполнения контракта Заказчик принимает самостоятельно после проверки цен, характеристик товаров, сроков и условий Закупки по первоисточникам. Заказчик, действующий в предпринимательских целях, принимает такие решения на свой риск (абзац третий пункта 1 статьи 2 ГК РФ). Заказчику-потребителю Исполнитель предоставляет информацию об услуге и её свойствах в объёме, установленном статьёй 10 Закона о защите прав потребителей; ограничения раздела 10 применяются к нему с учётом п. 15.6 Оферты. Ответственность за содержание заявки и за ценовое предложение несёт участник Закупки.</w:t>
      </w:r>
    </w:p>
    <w:p>
      <w:pPr>
        <w:spacing w:before="240" w:after="120"/>
        <w:ind w:firstLine="0" w:left="0"/>
        <w:jc w:val="left"/>
      </w:pPr>
      <w:r>
        <w:rPr>
          <w:rFonts w:ascii="Times New Roman" w:hAnsi="Times New Roman" w:eastAsia="Times New Roman" w:cs="Times New Roman"/>
          <w:b/>
          <w:sz w:val="24"/>
        </w:rPr>
        <w:t>3. Заключение Договора (акцепт Оферты)</w:t>
      </w:r>
    </w:p>
    <w:p>
      <w:pPr>
        <w:spacing w:before="0" w:after="0"/>
        <w:ind w:firstLine="709" w:left="0"/>
      </w:pPr>
      <w:r>
        <w:rPr>
          <w:rFonts w:ascii="Times New Roman" w:hAnsi="Times New Roman" w:eastAsia="Times New Roman" w:cs="Times New Roman"/>
          <w:b w:val="0"/>
          <w:sz w:val="24"/>
        </w:rPr>
        <w:t>3.1. Договор заключается в порядке, установленном настоящим разделом. Акцептом Оферты признаётся полное и безоговорочное принятие её условий без изъятий и оговорок, выраженное в любом из следующих действий:</w:t>
      </w:r>
    </w:p>
    <w:p>
      <w:pPr>
        <w:spacing w:before="0" w:after="0"/>
        <w:ind w:firstLine="0" w:left="709"/>
      </w:pPr>
      <w:r>
        <w:rPr>
          <w:rFonts w:ascii="Times New Roman" w:hAnsi="Times New Roman" w:eastAsia="Times New Roman" w:cs="Times New Roman"/>
          <w:b w:val="0"/>
          <w:sz w:val="24"/>
        </w:rPr>
        <w:t>— регистрация в Сервисе (создание Личного кабинета) с подтверждением адреса электронной почты одноразовым кодом, проставлением отметки о принятии Оферты и подтверждением ознакомления с Политикой в отношении обработки персональных данных, размещённой на Сайте по адресу https://tendik.ru/politika-pdn.html, — для Безвозмездного доступа; момент заключения Договора в этой части определяется п. 3.1.1 Оферты. Если регистрацию совершает Пользователь, действующий от имени организации или индивидуального предпринимателя, Заказчиком признаётся такая организация или такой индивидуальный предприниматель с момента подтверждения полномочий Пользователя в порядке п. 3.5 Оферты; до подтверждения полномочий Заказчиком является зарегистрировавшееся физическое лицо;</w:t>
      </w:r>
    </w:p>
    <w:p>
      <w:pPr>
        <w:spacing w:before="0" w:after="0"/>
        <w:ind w:firstLine="0" w:left="709"/>
      </w:pPr>
      <w:r>
        <w:rPr>
          <w:rFonts w:ascii="Times New Roman" w:hAnsi="Times New Roman" w:eastAsia="Times New Roman" w:cs="Times New Roman"/>
          <w:b w:val="0"/>
          <w:sz w:val="24"/>
        </w:rPr>
        <w:t>— оплата счёта Исполнителя на выбранную Ступень (для платного доступа);</w:t>
      </w:r>
    </w:p>
    <w:p>
      <w:pPr>
        <w:spacing w:before="0" w:after="0"/>
        <w:ind w:firstLine="0" w:left="709"/>
      </w:pPr>
      <w:r>
        <w:rPr>
          <w:rFonts w:ascii="Times New Roman" w:hAnsi="Times New Roman" w:eastAsia="Times New Roman" w:cs="Times New Roman"/>
          <w:b w:val="0"/>
          <w:sz w:val="24"/>
        </w:rPr>
        <w:t>— оплата выбранной Ступени банковской картой на Сайте через платёжный сервис банка-эквайрера (для платного доступа).</w:t>
      </w:r>
    </w:p>
    <w:p>
      <w:pPr>
        <w:spacing w:before="0" w:after="0"/>
        <w:ind w:firstLine="709" w:left="0"/>
      </w:pPr>
      <w:r>
        <w:rPr>
          <w:rFonts w:ascii="Times New Roman" w:hAnsi="Times New Roman" w:eastAsia="Times New Roman" w:cs="Times New Roman"/>
          <w:b w:val="0"/>
          <w:sz w:val="24"/>
        </w:rPr>
        <w:t>3.1.1. Регистрация в Сервисе является предложением заключить Договор в части Безвозмездного доступа. Договор в этой части считается заключённым с момента открытия Исполнителем доступа к Личному кабинету (п. 3 ст. 438 ГК РФ); дата и время открытия доступа фиксируются в журнале Сервиса и предоставляются Заказчику по запросу.</w:t>
      </w:r>
    </w:p>
    <w:p>
      <w:pPr>
        <w:spacing w:before="0" w:after="0"/>
        <w:ind w:firstLine="709" w:left="0"/>
      </w:pPr>
      <w:r>
        <w:rPr>
          <w:rFonts w:ascii="Times New Roman" w:hAnsi="Times New Roman" w:eastAsia="Times New Roman" w:cs="Times New Roman"/>
          <w:b w:val="0"/>
          <w:sz w:val="24"/>
        </w:rPr>
        <w:t>3.2. Датой акцепта Оферты признаётся дата поступления денежных средств на расчётный счёт Исполнителя, при оплате банковской картой — дата успешного подтверждения платежа банком-эквайрером, а при Безвозмездном доступе — дата открытия Исполнителем доступа к Личному кабинету (п. 3.1.1 Оферты). С этого момента Договор считается заключённым в простой письменной форме без подписания единого бумажного документа (п. 3 ст. 434, п. 3 ст. 438 ГК РФ).</w:t>
      </w:r>
    </w:p>
    <w:p>
      <w:pPr>
        <w:spacing w:before="0" w:after="0"/>
        <w:ind w:firstLine="709" w:left="0"/>
      </w:pPr>
      <w:r>
        <w:rPr>
          <w:rFonts w:ascii="Times New Roman" w:hAnsi="Times New Roman" w:eastAsia="Times New Roman" w:cs="Times New Roman"/>
          <w:b w:val="0"/>
          <w:sz w:val="24"/>
        </w:rPr>
        <w:t>3.3. Совершая акцепт, Заказчик подтверждает, что: ознакомлен с Офертой, с Приложением № 1 к ней и с документами, перечисленными в п. 1.5 Оферты, и согласен с ними; сведения, указанные при регистрации и в заявке на счёт (в том числе ИНН и адрес электронной почты), достоверны.</w:t>
      </w:r>
    </w:p>
    <w:p>
      <w:pPr>
        <w:spacing w:before="0" w:after="0"/>
        <w:ind w:firstLine="709" w:left="0"/>
      </w:pPr>
      <w:r>
        <w:rPr>
          <w:rFonts w:ascii="Times New Roman" w:hAnsi="Times New Roman" w:eastAsia="Times New Roman" w:cs="Times New Roman"/>
          <w:b w:val="0"/>
          <w:sz w:val="24"/>
        </w:rPr>
        <w:t>3.4. Исполнитель вправе отозвать Оферту до её акцепта (п. 1.3 Оферты), а также отказать Заказчику, действующему в предпринимательских целях, в выставлении счёта без объяснения причин. Отказ в выставлении счёта заявляется до поступления оплаты; после акцепта в порядке п. 3.2 Оферты Договор считается заключённым. К Заказчику-потребителю настоящий пункт не применяется: Договор с ним является публичным (п. 15.2 Оферты).</w:t>
      </w:r>
    </w:p>
    <w:p>
      <w:pPr>
        <w:spacing w:before="0" w:after="0"/>
        <w:ind w:firstLine="709" w:left="0"/>
      </w:pPr>
      <w:r>
        <w:rPr>
          <w:rFonts w:ascii="Times New Roman" w:hAnsi="Times New Roman" w:eastAsia="Times New Roman" w:cs="Times New Roman"/>
          <w:b w:val="0"/>
          <w:sz w:val="24"/>
        </w:rPr>
        <w:t>3.5. Пользователь, указавший в Личном кабинете ИНН организации или индивидуального предпринимателя, подтверждает наличие у него полномочий действовать от их имени. Полномочия Пользователя считаются подтверждёнными Заказчиком с момента оплаты доступа для Личного кабинета, в котором указан ИНН Заказчика, с расчётного счёта Заказчика либо с момента, когда Пользователь добавлен в организацию Заказчика её администратором в Личном кабинете. Оплата, произведённая с банковской карты физического лица, сама по себе одобрением сделки Заказчиком не является (ст. 183 ГК РФ); к такой оплате применяется предположение, установленное п. 7.2.1 Оферты. До подтверждения полномочий, если иное не следует из предположения п. 7.2.1 Оферты, а также при опровержении этого предположения Заказчиком по Договору является зарегистрировавшееся физическое лицо. Если полномочия отсутствовали и Заказчик сделку не одобрил, обязанным по Договору считается Пользователь, совершивший соответствующие действия (п. 1 ст. 183 ГК РФ).</w:t>
      </w:r>
    </w:p>
    <w:p>
      <w:pPr>
        <w:spacing w:before="240" w:after="120"/>
        <w:ind w:firstLine="0" w:left="0"/>
        <w:jc w:val="left"/>
      </w:pPr>
      <w:r>
        <w:rPr>
          <w:rFonts w:ascii="Times New Roman" w:hAnsi="Times New Roman" w:eastAsia="Times New Roman" w:cs="Times New Roman"/>
          <w:b/>
          <w:sz w:val="24"/>
        </w:rPr>
        <w:t>4. Порядок пользования Сервисом</w:t>
      </w:r>
    </w:p>
    <w:p>
      <w:pPr>
        <w:spacing w:before="0" w:after="0"/>
        <w:ind w:firstLine="709" w:left="0"/>
      </w:pPr>
      <w:r>
        <w:rPr>
          <w:rFonts w:ascii="Times New Roman" w:hAnsi="Times New Roman" w:eastAsia="Times New Roman" w:cs="Times New Roman"/>
          <w:b w:val="0"/>
          <w:sz w:val="24"/>
        </w:rPr>
        <w:t>4.1. Доступ к Сервису предоставляется круглосуточно. Исполнитель обновляет Сервис в том числе в рабочее время и без предварительного уведомления; обновление может привести к перерыву в доступе и к прерыванию выполняющегося Просчёта. Позиции, по которым Просчёт был прерван и результат в Отчёт не попал, из Пула не списываются (п. 4.3 Оферты); повторный Просчёт таких Позиций тарифицируется по его результату на общих основаниях (п. 4.3 Оферты). Если перерыв в доступе по причинам, зависящим от Исполнителя, составил более 8 (восьми) часов подряд, Период продлевается на срок такого перерыва по обращению Заказчика, направленному на support@tendik.ru в течение 30 (тридцати) календарных дней с даты перерыва; продление оформляется в Личном кабинете в течение 7 (семи) рабочих дней с даты обращения. Пропуск указанного срока не лишает Заказчика права требовать продления Периода или иного удовлетворения. Иных компенсаций за перерывы в доступе Офертой не предусмотрено. Положения настоящего пункта не ограничивают права Заказчика-потребителя, предусмотренные статьями 28, 29 и 31 Закона о защите прав потребителей. Настоящий пункт не освобождает Исполнителя от ответственности за умышленное нарушение обязательств (п. 4 ст. 401 ГК РФ).</w:t>
      </w:r>
    </w:p>
    <w:p>
      <w:pPr>
        <w:spacing w:before="0" w:after="0"/>
        <w:ind w:firstLine="709" w:left="0"/>
      </w:pPr>
      <w:r>
        <w:rPr>
          <w:rFonts w:ascii="Times New Roman" w:hAnsi="Times New Roman" w:eastAsia="Times New Roman" w:cs="Times New Roman"/>
          <w:b w:val="0"/>
          <w:sz w:val="24"/>
        </w:rPr>
        <w:t>4.2. Вход в Личный кабинет выполняется по одноразовому коду, направляемому на адрес электронной почты Пользователя. Настоящий пункт является соглашением участников электронного взаимодействия об использовании простой электронной подписи (часть 2 статьи 6 и часть 2 статьи 9 Федерального закона от 06.04.2011 № 63-ФЗ «Об электронной подписи»). Ключом простой электронной подписи признаётся сочетание адреса электронной почты Пользователя, закреплённого за ним в Сервисе, и одноразового кода, направленного Исполнителем на этот адрес; такой код является простой электронной подписью в значении части 2 статьи 5 указанного закона. Лицом, подписавшим электронный документ, признаётся Пользователь, за которым в Сервисе закреплён указанный адрес электронной почты; его действия признаются совершёнными от имени Заказчика, к Личному кабинету которого этот Пользователь отнесён в Сервисе. Факт и время направления кода, его использования и совершённых с его использованием действий фиксируются в журнале Сервиса и предоставляются любой из сторон по запросу на адрес support@tendik.ru. Документы и действия, совершённые в Личном кабинете с использованием такого кода, признаются равнозначными документам на бумажном носителе, подписанным собственноручной подписью, и порождают для Заказчика права и обязанности, включая обязанность оплатить выполненные Просчёты. Заказчик обеспечивает конфиденциальность ключа простой электронной подписи, в том числе конфиденциальность доступа к почтовым ящикам своих Пользователей, и незамедлительно уведомляет Исполнителя об утрате такой конфиденциальности по адресу support@tendik.ru.</w:t>
      </w:r>
    </w:p>
    <w:p>
      <w:pPr>
        <w:spacing w:before="0" w:after="0"/>
        <w:ind w:firstLine="709" w:left="0"/>
      </w:pPr>
      <w:r>
        <w:rPr>
          <w:rFonts w:ascii="Times New Roman" w:hAnsi="Times New Roman" w:eastAsia="Times New Roman" w:cs="Times New Roman"/>
          <w:b w:val="0"/>
          <w:sz w:val="24"/>
        </w:rPr>
        <w:t>4.2.1. Решение Согласующего, принятое по направленной ему из Сервиса одноразовой ссылке, признаётся решением Заказчика. Ключом простой электронной подписи Согласующего признаётся сочетание адреса электронной почты, на который Заказчик распорядился направить ссылку, и самой одноразовой ссылки; правила п. 4.2 Оферты применяются к нему соответственно. Одноразовая ссылка направляется Пользователям Заказчика с ролью администратора; круг таких Пользователей и объём их полномочий Заказчик определяет в Личном кабинете, а направление ссылки признаётся поручением Заказчика соответствующему Пользователю принять решение от его имени. Заказчик обеспечивает, чтобы ссылка не передавалась лицам, не уполномоченным им на принятие решения.</w:t>
      </w:r>
    </w:p>
    <w:p>
      <w:pPr>
        <w:spacing w:before="0" w:after="0"/>
        <w:ind w:firstLine="709" w:left="0"/>
      </w:pPr>
      <w:r>
        <w:rPr>
          <w:rFonts w:ascii="Times New Roman" w:hAnsi="Times New Roman" w:eastAsia="Times New Roman" w:cs="Times New Roman"/>
          <w:b w:val="0"/>
          <w:sz w:val="24"/>
        </w:rPr>
        <w:t>4.3. Результат Просчёта предоставляется в виде Отчёта в Личном кабинете. Из Пула списываются только результативные Позиции — Позиции, по которым Сервис нашёл не менее одной ссылки на общедоступный источник с ценой и включил эту ссылку в Отчёт либо подтвердил найденную альтернативу. Позиция, по которой такая ссылка в Отчёт не включена, из Пула не списывается. Из Пула не списываются также Позиции, цена по которым определена: по Собственному прайсу Заказчика; по Ответу поставщика (п. 5.8 Оферты); по ценам исполненных контрактов из открытых источников, приводимым справочно (п. 2.7 Оферты). Первый повторный поиск цены по ранее списанной Позиции, запущенный Пользователем из карточки Закупки, выполняется без списания из Пула; второй и последующие повторные поиски по той же Позиции, а также повторный Просчёт Закупки целиком тарифицируются на общих основаниях. Количество списанных Позиций отображается в Сервисе.</w:t>
      </w:r>
    </w:p>
    <w:p>
      <w:pPr>
        <w:spacing w:before="0" w:after="0"/>
        <w:ind w:firstLine="709" w:left="0"/>
      </w:pPr>
      <w:r>
        <w:rPr>
          <w:rFonts w:ascii="Times New Roman" w:hAnsi="Times New Roman" w:eastAsia="Times New Roman" w:cs="Times New Roman"/>
          <w:b w:val="0"/>
          <w:sz w:val="24"/>
        </w:rPr>
        <w:t>4.4. Заказчик не вправе: передавать доступ третьим лицам вне своей организации; перепродавать доступ к Сервису; предпринимать действия, направленные на нарушение работы Сервиса, обход тарификации или автоматизированное массовое извлечение данных из Сервиса; использовать Сервис в нарушение законодательства Российской Федерации.</w:t>
      </w:r>
    </w:p>
    <w:p>
      <w:pPr>
        <w:spacing w:before="0" w:after="0"/>
        <w:ind w:firstLine="709" w:left="0"/>
      </w:pPr>
      <w:r>
        <w:rPr>
          <w:rFonts w:ascii="Times New Roman" w:hAnsi="Times New Roman" w:eastAsia="Times New Roman" w:cs="Times New Roman"/>
          <w:b w:val="0"/>
          <w:sz w:val="24"/>
        </w:rPr>
        <w:t>4.5. Для выполнения Просчёта и разбора Ответов поставщиков Исполнитель вправе передавать лицам, привлечённым к исполнению Договора, включая поставщиков сервисов автоматизированной обработки текста, в том числе находящихся за пределами Российской Федерации: содержание Закупок; содержание загруженных Заказчиком материалов; содержание общедоступных источников; содержание Ответов поставщиков и приложенных к ним файлов. Перед такой передачей Исполнитель автоматически удаляет из текста сведения, относящиеся к физическим лицам: фамилии, имена и отчества, инициалы, контактные данные, реквизиты документов и иные идентификаторы, — заменяя их метками без сохранения соответствия исходным значениям. Изъятий из этого правила по видам передаваемого текста не установлено. Такое удаление направлено на то, чтобы передаваемый текст не позволял определить физическое лицо; соответствие метки исходному значению не формируется и не сохраняется. Исполнитель не гарантирует полноты автоматического удаления в отношении сведений, не имеющих устойчивых признаков персональных данных, — в частности одиночной фамилии, приведённой без имени, инициалов и должности. Порядок такого удаления и оговорки к нему установлены Политикой в отношении обработки персональных данных. Иных передач персональных данных Заказчика, его Пользователей, Поставщиков и иных третьих лиц за пределы Российской Федерации Исполнитель не осуществляет.</w:t>
      </w:r>
    </w:p>
    <w:p>
      <w:pPr>
        <w:spacing w:before="0" w:after="0"/>
        <w:ind w:firstLine="709" w:left="0"/>
      </w:pPr>
      <w:r>
        <w:rPr>
          <w:rFonts w:ascii="Times New Roman" w:hAnsi="Times New Roman" w:eastAsia="Times New Roman" w:cs="Times New Roman"/>
          <w:b w:val="0"/>
          <w:sz w:val="24"/>
        </w:rPr>
        <w:t>4.6. Заказчик подтверждает наличие у него прав на передачу Исполнителю загружаемых материалов и достоверность сведений, которые он вносит в Сервис. Передаваемые материалы используются исключительно для оказания услуг по Договору. Заказчик обязуется не размещать в Сервисе сведения, составляющие государственную или иную охраняемую законом тайну, а также иную информацию, передача которой третьим лицам ограничена. Заказчик обязуется не размещать в Сервисе персональные данные, за исключением: контактных данных своих Пользователей и Согласующих; контактных данных представителей Поставщиков, вносимых в Книгу поставщиков и поступающих в составе Ответов поставщиков; персональных данных, содержащихся в открытых источниках сведений о Закупках. Обработка перечисленных данных ведётся в порядке раздела 11 Оферты.</w:t>
      </w:r>
    </w:p>
    <w:p>
      <w:pPr>
        <w:spacing w:before="0" w:after="0"/>
        <w:ind w:firstLine="709" w:left="0"/>
      </w:pPr>
      <w:r>
        <w:rPr>
          <w:rFonts w:ascii="Times New Roman" w:hAnsi="Times New Roman" w:eastAsia="Times New Roman" w:cs="Times New Roman"/>
          <w:b w:val="0"/>
          <w:sz w:val="24"/>
        </w:rPr>
        <w:t>4.7. Количество Пользователей Заказчика не ограничено; плата за количество Пользователей и их роли не взимается. Заказчик самостоятельно назначает Пользователям роли (администратор, оператор, наблюдатель) и вправе устанавливать каждому из них личный лимит Позиций на Период в пределах Пула. Согласующий ролью Пользователя не является: одноразовая ссылка на экран согласования направляется Пользователям с ролью администратора, круг которых Заказчик определяет в Личном кабинете (п. 1.2 и 4.2.1 Оферты).</w:t>
      </w:r>
    </w:p>
    <w:p>
      <w:pPr>
        <w:spacing w:before="240" w:after="120"/>
        <w:ind w:firstLine="0" w:left="0"/>
        <w:jc w:val="left"/>
      </w:pPr>
      <w:r>
        <w:rPr>
          <w:rFonts w:ascii="Times New Roman" w:hAnsi="Times New Roman" w:eastAsia="Times New Roman" w:cs="Times New Roman"/>
          <w:b/>
          <w:sz w:val="24"/>
        </w:rPr>
        <w:t>5. Работа с поставщиками</w:t>
      </w:r>
    </w:p>
    <w:p>
      <w:pPr>
        <w:spacing w:before="0" w:after="0"/>
        <w:ind w:firstLine="709" w:left="0"/>
      </w:pPr>
      <w:r>
        <w:rPr>
          <w:rFonts w:ascii="Times New Roman" w:hAnsi="Times New Roman" w:eastAsia="Times New Roman" w:cs="Times New Roman"/>
          <w:b w:val="0"/>
          <w:sz w:val="24"/>
        </w:rPr>
        <w:t>5.1. По заданию Заказчика Сервис направляет Поставщикам Запросы цен, принимает Ответы поставщиков, разбирает их и переносит полученные цены в Отчёт. Работа с поставщиками ведётся с использованием Почтового ящика Заказчика и осуществляется Исполнителем по поручению Заказчика. Отдельная плата за работу с поставщиками не взимается; Позиции, цена по которым определена по Ответу поставщика, из Пула не списываются (п. 4.3 Оферты). Количественные ограничения работы с поставщиками — число Запросов цен в сутки, число Позиций в одном Запросе цен и число Поставщиков в одной отправке — установлены Приложением № 1 к Оферте.</w:t>
      </w:r>
    </w:p>
    <w:p>
      <w:pPr>
        <w:spacing w:before="0" w:after="0"/>
        <w:ind w:firstLine="709" w:left="0"/>
      </w:pPr>
      <w:r>
        <w:rPr>
          <w:rFonts w:ascii="Times New Roman" w:hAnsi="Times New Roman" w:eastAsia="Times New Roman" w:cs="Times New Roman"/>
          <w:b w:val="0"/>
          <w:sz w:val="24"/>
        </w:rPr>
        <w:t>5.2. Заказчик подключает к Сервису собственный почтовый ящик, указав в Личном кабинете адрес электронной почты, параметры доступа по протоколам IMAP и SMTP и учётные данные (логин и пароль либо пароль приложения). Подключение выполняется администратором организации Заказчика и является поручением Заказчика Исполнителю использовать этот ящик в целях, установленных настоящим разделом. Подключая ящик, администратор действует от имени Заказчика и подтверждает наличие обстоятельств, указанных в п. 9.5 Оферты.</w:t>
      </w:r>
    </w:p>
    <w:p>
      <w:pPr>
        <w:spacing w:before="0" w:after="0"/>
        <w:ind w:firstLine="709" w:left="0"/>
      </w:pPr>
      <w:r>
        <w:rPr>
          <w:rFonts w:ascii="Times New Roman" w:hAnsi="Times New Roman" w:eastAsia="Times New Roman" w:cs="Times New Roman"/>
          <w:b w:val="0"/>
          <w:sz w:val="24"/>
        </w:rPr>
        <w:t>5.3. По запросу Заказчика Исполнитель вправе предоставить Заказчику почтовый ящик на домене Исполнителя. Пароль такого ящика сообщается Заказчику один раз при его создании. К такому ящику применяются все правила настоящего раздела; Исполнитель дополнительно обязуется: не использовать его для собственных целей; не направлять с него сообщения, кроме Запросов цен и сообщений Заказчика в переписке с Поставщиками, направляемых по заданию Заказчика (п. 5.5 Оферты), и служебных сообщений Сервиса; не изменять пароль такого ящика и не восстанавливать доступ к нему иначе как по обращению Заказчика; не читать письма, не являющиеся Ответами поставщиков (п. 5.6 Оферты). При отключении такого ящика от Сервиса и при прекращении Договора сам ящик и хранящаяся в нём переписка сохраняются и остаются доступными Заказчику через веб-интерфейс поставщика услуг связи, а Исполнитель уничтожает учётные данные в срок, установленный п. 5.4 Оферты, и доступ к ящику утрачивает. Ящик удаляется вместе с перепиской по обращению Заказчика на адрес support@tendik.ru — в течение 3 (трёх) рабочих дней с даты получения обращения.</w:t>
      </w:r>
    </w:p>
    <w:p>
      <w:pPr>
        <w:spacing w:before="0" w:after="0"/>
        <w:ind w:firstLine="709" w:left="0"/>
      </w:pPr>
      <w:r>
        <w:rPr>
          <w:rFonts w:ascii="Times New Roman" w:hAnsi="Times New Roman" w:eastAsia="Times New Roman" w:cs="Times New Roman"/>
          <w:b w:val="0"/>
          <w:sz w:val="24"/>
        </w:rPr>
        <w:t>5.4. Учётные данные Почтового ящика Заказчика хранятся Исполнителем в зашифрованном виде; ключ шифрования хранится отдельно от базы данных. Основанием хранения является необходимость исполнения Договора в части, установленной настоящим разделом. Исполнитель обязуется использовать учётные данные исключительно для направления Запросов цен и приёма Ответов поставщиков, не передавать их третьим лицам, не отображать пароль Почтового ящика Заказчика в интерфейсе Сервиса и не использовать доступ к Почтовому ящику Заказчика для любых иных целей. Учётные данные удаляются Исполнителем при отключении Заказчиком Почтового ящика в Личном кабинете и при прекращении Договора — в обоих случаях не позднее 3 (трёх) рабочих дней с даты соответствующего события. Из резервных копий базы данных учётные данные выбывают по истечении срока хранения резервных копий, установленного Политикой в отношении обработки персональных данных.</w:t>
      </w:r>
    </w:p>
    <w:p>
      <w:pPr>
        <w:spacing w:before="0" w:after="0"/>
        <w:ind w:firstLine="709" w:left="0"/>
      </w:pPr>
      <w:r>
        <w:rPr>
          <w:rFonts w:ascii="Times New Roman" w:hAnsi="Times New Roman" w:eastAsia="Times New Roman" w:cs="Times New Roman"/>
          <w:b w:val="0"/>
          <w:sz w:val="24"/>
        </w:rPr>
        <w:t>5.5. Запросы цен направляются с Почтового ящика Заказчика и от имени Заказчика. Направляя задание на отправку, Заказчик поручает Исполнителю направить соответствующие письма и подтверждает, что содержание Запроса цен согласовано им. Отправителем сообщения является Заказчик. Содержание Запроса цен и круг Поставщиков, которым он направляется, определяет Заказчик; Заказчик обеспечивает наличие оснований для обращения к выбранным им Поставщикам и соблюдение требований законодательства о рекламе, включая Федеральный закон от 13.03.2006 № 38-ФЗ «О рекламе», и требований законодательства о деловой переписке, а также возмещает Исполнителю потери, возникшие вследствие нарушения этих требований, в порядке п. 10.9 Оферты. По умолчанию Запрос цен не содержит сведений о Закупке, к которой относятся Позиции: номер Закупки, заказчик Закупки, начальная (максимальная) цена контракта и срок подачи заявок Поставщику не сообщаются. Заказчик, изменивший в Личном кабинете шаблон письма, определяет его содержание самостоятельно. С Почтового ящика Заказчика по его заданию направляются также сообщения Заказчика в переписке с Поставщиком по ранее направленному Запросу цен; к таким сообщениям правила настоящего пункта и п. 10.5 Оферты применяются соответственно.</w:t>
      </w:r>
    </w:p>
    <w:p>
      <w:pPr>
        <w:spacing w:before="0" w:after="0"/>
        <w:ind w:firstLine="709" w:left="0"/>
      </w:pPr>
      <w:r>
        <w:rPr>
          <w:rFonts w:ascii="Times New Roman" w:hAnsi="Times New Roman" w:eastAsia="Times New Roman" w:cs="Times New Roman"/>
          <w:b w:val="0"/>
          <w:sz w:val="24"/>
        </w:rPr>
        <w:t>5.6. Сервис периодически открывает Почтовый ящик Заказчика по протоколу IMAP исключительно на чтение и обрабатывает только письма, являющиеся ответами на направленные Сервисом Запросы цен, — письма, в которых идентификатор направленного Сервисом сообщения указан в служебных заголовках ответа либо в теме которых содержится номер соответствующего запроса. Иные письма Почтового ящика Заказчика Сервисом не обрабатываются и не сохраняются; для отбора Ответов поставщиков Сервис считывает у поступающих писем только служебные заголовки — идентификатор сообщения, тему и адрес отправителя, — содержание таких писем не читается. Флаги и статусы писем при чтении не изменяются. Переписка, поступившая в Почтовый ящик Заказчика до даты его подключения к Сервису, не читается. Настоящий пункт является обязательством Исполнителя, ограничивающим объём его доступа к Почтовому ящику Заказчика.</w:t>
      </w:r>
    </w:p>
    <w:p>
      <w:pPr>
        <w:spacing w:before="0" w:after="0"/>
        <w:ind w:firstLine="709" w:left="0"/>
      </w:pPr>
      <w:r>
        <w:rPr>
          <w:rFonts w:ascii="Times New Roman" w:hAnsi="Times New Roman" w:eastAsia="Times New Roman" w:cs="Times New Roman"/>
          <w:b w:val="0"/>
          <w:sz w:val="24"/>
        </w:rPr>
        <w:t>5.7. Текст Ответа поставщика и текст приложенных к нему файлов разбираются Сервисом с использованием средств автоматизированной обработки текста в строки вида «позиция — цена — условия»; передача текста осуществляется с обезличиванием по правилам п. 4.5 Оферты. Результат разбора носит информационный характер: Исполнитель не гарантирует полноты и правильности распознавания содержания Ответа поставщика, и Заказчик проверяет его по исходному письму, доступному ему в собственном почтовом ящике.</w:t>
      </w:r>
    </w:p>
    <w:p>
      <w:pPr>
        <w:spacing w:before="0" w:after="0"/>
        <w:ind w:firstLine="709" w:left="0"/>
      </w:pPr>
      <w:r>
        <w:rPr>
          <w:rFonts w:ascii="Times New Roman" w:hAnsi="Times New Roman" w:eastAsia="Times New Roman" w:cs="Times New Roman"/>
          <w:b w:val="0"/>
          <w:sz w:val="24"/>
        </w:rPr>
        <w:t>5.8. Ответ поставщика является адресованным Заказчику предложением Поставщика. Исполнитель стороной отношений между Заказчиком и Поставщиком не является, за достоверность сведений Поставщика, за заключение и исполнение договора с ним не отвечает и никаких гарантий в отношении Поставщика не даёт. Цена из Ответа поставщика включается в Отчёт только после того, как Пользователь принял её в расчёт в Личном кабинете, и такая Позиция из Пула не списывается.</w:t>
      </w:r>
    </w:p>
    <w:p>
      <w:pPr>
        <w:spacing w:before="0" w:after="0"/>
        <w:ind w:firstLine="709" w:left="0"/>
      </w:pPr>
      <w:r>
        <w:rPr>
          <w:rFonts w:ascii="Times New Roman" w:hAnsi="Times New Roman" w:eastAsia="Times New Roman" w:cs="Times New Roman"/>
          <w:b w:val="0"/>
          <w:sz w:val="24"/>
        </w:rPr>
        <w:t>5.9. Книгу поставщиков ведёт Заказчик. Сведения в неё вносятся Пользователями вручную, а также автоматически: по продавцам, чьи цены Сервис нашёл при Просчёте, и по Поставщикам, которым направлялись Запросы цен. Заказчик самостоятельно определяет состав вносимых сведений с учётом ограничений п. 4.6 Оферты и гарантий п. 11.5 Оферты.</w:t>
      </w:r>
    </w:p>
    <w:p>
      <w:pPr>
        <w:spacing w:before="0" w:after="0"/>
        <w:ind w:firstLine="709" w:left="0"/>
      </w:pPr>
      <w:r>
        <w:rPr>
          <w:rFonts w:ascii="Times New Roman" w:hAnsi="Times New Roman" w:eastAsia="Times New Roman" w:cs="Times New Roman"/>
          <w:b w:val="0"/>
          <w:sz w:val="24"/>
        </w:rPr>
        <w:t>5.10. Собственный прайс загружается Заказчиком в Личный кабинет файлом в формате XLSX или CSV. Число строк Собственного прайса, которое Сервис использует при Просчёте, ограничено по Ступеням в соответствии с Приложением № 1 к Оферте; строки сверх этого числа при загрузке не принимаются, при этом файл Заказчика не изменяется. Заказчик отвечает за достоверность цен Собственного прайса; Позиция, цена по которой определена по Собственному прайсу, из Пула не списывается (п. 4.3 Оферты).</w:t>
      </w:r>
    </w:p>
    <w:p>
      <w:pPr>
        <w:spacing w:before="0" w:after="0"/>
        <w:ind w:firstLine="709" w:left="0"/>
      </w:pPr>
      <w:r>
        <w:rPr>
          <w:rFonts w:ascii="Times New Roman" w:hAnsi="Times New Roman" w:eastAsia="Times New Roman" w:cs="Times New Roman"/>
          <w:b w:val="0"/>
          <w:sz w:val="24"/>
        </w:rPr>
        <w:t>5.11. Заказчик вправе в любой момент отключить Почтовый ящик в Личном кабинете. С момента отключения Сервис прекращает направление Запросов цен и чтение ящика, а учётные данные удаляются в срок, установленный п. 5.4 Оферты. Ранее полученные и разобранные Ответы поставщиков остаются доступными Заказчику в Личном кабинете в течение срока, установленного п. 12.4 Оферты.</w:t>
      </w:r>
    </w:p>
    <w:p>
      <w:pPr>
        <w:spacing w:before="240" w:after="120"/>
        <w:ind w:firstLine="0" w:left="0"/>
        <w:jc w:val="left"/>
      </w:pPr>
      <w:r>
        <w:rPr>
          <w:rFonts w:ascii="Times New Roman" w:hAnsi="Times New Roman" w:eastAsia="Times New Roman" w:cs="Times New Roman"/>
          <w:b/>
          <w:sz w:val="24"/>
        </w:rPr>
        <w:t>6. Сайты поставщиков</w:t>
      </w:r>
    </w:p>
    <w:p>
      <w:pPr>
        <w:spacing w:before="0" w:after="0"/>
        <w:ind w:firstLine="709" w:left="0"/>
      </w:pPr>
      <w:r>
        <w:rPr>
          <w:rFonts w:ascii="Times New Roman" w:hAnsi="Times New Roman" w:eastAsia="Times New Roman" w:cs="Times New Roman"/>
          <w:b w:val="0"/>
          <w:sz w:val="24"/>
        </w:rPr>
        <w:t>6.1. По умолчанию Просчёт использует источники, которые Сервис читает без дополнительной настройки. Заказчик вправе подключить к своим Просчётам Сайты поставщика: перечень их адресов Заказчик ведёт самостоятельно в Личном кабинете, а количество подключений оплачивается в порядке п. 7.10 Оферты. Отдельная заявка на подключение не требуется. Подключённый Сайт поставщика опрашивается наравне с источниками, указанными в абзаце первом настоящего пункта, только в Просчётах Заказчика, указавшего этот сайт. Сервис читает страницы Сайта поставщика, доступные без авторизации; разделы, доступ к которым требует авторизации, подключаются по отдельному соглашению сторон.</w:t>
      </w:r>
    </w:p>
    <w:p>
      <w:pPr>
        <w:spacing w:before="0" w:after="0"/>
        <w:ind w:firstLine="709" w:left="0"/>
      </w:pPr>
      <w:r>
        <w:rPr>
          <w:rFonts w:ascii="Times New Roman" w:hAnsi="Times New Roman" w:eastAsia="Times New Roman" w:cs="Times New Roman"/>
          <w:b w:val="0"/>
          <w:sz w:val="24"/>
        </w:rPr>
        <w:t>6.2. Подключение производится автоматически с момента подтверждения оплаты. Срок использования подключённых Сайтов поставщика исчисляется с даты оплаты и определяется п. 6.4 Оферты.</w:t>
      </w:r>
    </w:p>
    <w:p>
      <w:pPr>
        <w:spacing w:before="0" w:after="0"/>
        <w:ind w:firstLine="709" w:left="0"/>
      </w:pPr>
      <w:r>
        <w:rPr>
          <w:rFonts w:ascii="Times New Roman" w:hAnsi="Times New Roman" w:eastAsia="Times New Roman" w:cs="Times New Roman"/>
          <w:b w:val="0"/>
          <w:sz w:val="24"/>
        </w:rPr>
        <w:t>6.3. Сайт поставщика, чтение которого Сервису недоступно, дорабатывается Исполнителем: Исполнитель обеспечивает чтение такого сайта в течение 5 (пяти) рабочих дней с даты оплаты подключения, а если Заказчик указал этот сайт в Личном кабинете позднее — в течение 5 (пяти) рабочих дней с даты такого указания. Если в указанный срок обеспечить чтение Сайта поставщика не удалось, в том числе из-за технических ограничений сайта или запрета его владельца на автоматизированное чтение, Исполнитель уведомляет об этом Заказчика по электронной почте и по выбору Заказчика: подключает вместо него другой указанный Заказчиком сайт без дополнительной платы либо возвращает уплаченную за это подключение сумму в течение 10 (десяти) рабочих дней с даты получения выбора Заказчика. Выбор заявляется Заказчиком в течение 10 (десяти) рабочих дней с даты уведомления; при отсутствии ответа в этот срок производится возврат.</w:t>
      </w:r>
    </w:p>
    <w:p>
      <w:pPr>
        <w:spacing w:before="0" w:after="0"/>
        <w:ind w:firstLine="709" w:left="0"/>
      </w:pPr>
      <w:r>
        <w:rPr>
          <w:rFonts w:ascii="Times New Roman" w:hAnsi="Times New Roman" w:eastAsia="Times New Roman" w:cs="Times New Roman"/>
          <w:b w:val="0"/>
          <w:sz w:val="24"/>
        </w:rPr>
        <w:t>6.4. Все подключённые Сайты поставщика действуют до общей даты окончания, которая при каждой оплате подключений устанавливается не ранее 30 (тридцати) календарных дней с даты этой оплаты; оплата новых подключений срок ранее оплаченных не сокращает. Оплаченные подключения и подключения, предоставленные без дополнительной платы, суммируются. Одновременно к Просчётам Заказчика может быть подключено не более 20 (двадцати) Сайтов поставщика. При годовой оплате (п. 7.4 Оферты) Заказчику на весь оплаченный год без дополнительной платы предоставляется подключение 2 (двух) Сайтов поставщика.</w:t>
      </w:r>
    </w:p>
    <w:p>
      <w:pPr>
        <w:spacing w:before="240" w:after="120"/>
        <w:ind w:firstLine="0" w:left="0"/>
        <w:jc w:val="left"/>
      </w:pPr>
      <w:r>
        <w:rPr>
          <w:rFonts w:ascii="Times New Roman" w:hAnsi="Times New Roman" w:eastAsia="Times New Roman" w:cs="Times New Roman"/>
          <w:b/>
          <w:sz w:val="24"/>
        </w:rPr>
        <w:t>7. Стоимость услуг и порядок расчётов</w:t>
      </w:r>
    </w:p>
    <w:p>
      <w:pPr>
        <w:spacing w:before="0" w:after="0"/>
        <w:ind w:firstLine="709" w:left="0"/>
      </w:pPr>
      <w:r>
        <w:rPr>
          <w:rFonts w:ascii="Times New Roman" w:hAnsi="Times New Roman" w:eastAsia="Times New Roman" w:cs="Times New Roman"/>
          <w:b w:val="0"/>
          <w:sz w:val="24"/>
        </w:rPr>
        <w:t>7.1. Стоимость Периода определяется выбранной Ступенью и не зависит от количества фактически затребованных Заказчиком Просчётов (п. 2.5, 7.5 Оферты). Позиция — расчётная единица, которой измеряются размер Пула и стоимость дополнительно приобретаемых Позиций. Действующие Ступени, размер Пула, стоимость одной Позиции, стоимость Периода, стоимость года, потолок числа строк Собственного прайса, число Сайтов поставщика без дополнительной платы, а также объём и срок Безвозмездного доступа приведены в Приложении № 1 к Оферте, являющемся её неотъемлемой частью. Все цены указаны в рублях Российской Федерации.</w:t>
      </w:r>
    </w:p>
    <w:p>
      <w:pPr>
        <w:spacing w:before="0" w:after="0"/>
        <w:ind w:firstLine="709" w:left="0"/>
      </w:pPr>
      <w:r>
        <w:rPr>
          <w:rFonts w:ascii="Times New Roman" w:hAnsi="Times New Roman" w:eastAsia="Times New Roman" w:cs="Times New Roman"/>
          <w:b w:val="0"/>
          <w:sz w:val="24"/>
        </w:rPr>
        <w:t>7.2. Оплата производится в безналичном порядке: по счёту Исполнителя (настоящий пункт) либо банковской картой на Сайте (п. 7.2.1 Оферты). При оплате по счёту: счёт формируется Заказчиком в Личном кабинете (кнопка «Счёт») после указания ИНН своей организации; по запросу на адрес support@tendik.ru счёт выставляет Исполнитель. Счёт действителен для оплаты в течение срока, указанного в самом счёте; при поступлении оплаты после этого срока Исполнитель вправе вернуть платёж либо, по согласованию с Заказчиком, зачесть его по тарифам, действующим на дату поступления. В назначении платежа Заказчик указывает номер и дату счёта. Оплата производится с расчётного счёта Заказчика. Исполнитель вправе не зачесть оплату, поступившую от третьего лица, и вернуть её плательщику; зачёт такой оплаты подтверждением полномочий Пользователя (п. 3.5 Оферты) не является.</w:t>
      </w:r>
    </w:p>
    <w:p>
      <w:pPr>
        <w:spacing w:before="0" w:after="0"/>
        <w:ind w:firstLine="709" w:left="0"/>
      </w:pPr>
      <w:r>
        <w:rPr>
          <w:rFonts w:ascii="Times New Roman" w:hAnsi="Times New Roman" w:eastAsia="Times New Roman" w:cs="Times New Roman"/>
          <w:b w:val="0"/>
          <w:sz w:val="24"/>
        </w:rPr>
        <w:t>7.2.1. Оплата банковской картой производится на Сайте через платёжный сервис банка-эквайрера; реквизиты карты вводятся на стороне банка и Исполнителю не передаются. При оплате банковской картой Пул открывается автоматически после подтверждения платежа банком, а кассовый чек в соответствии с частью 5 статьи 1.2 Федерального закона от 22.05.2003 № 54-ФЗ «О применении контрольно-кассовой техники при осуществлении расчётов в Российской Федерации» направляется на адрес электронной почты Заказчика, указанный при регистрации. Указание ИНН при оплате банковской картой не требуется. Сведения о способах оплаты, порядке предоставления доступа и возврата, а также контакты службы поддержки размещены на Сайте по адресу https://tendik.ru/oplata.html. При оплате банковской картой Заказчиком является лицо, от имени которого ведётся Личный кабинет: организация или индивидуальный предприниматель, ИНН которых указан в Личном кабинете, а при отсутствии указанного ИНН — зарегистрировавшееся физическое лицо. Предполагается, пока не доказано иное, что физическое лицо, оплачивающее доступ для Личного кабинета, в котором указан ИНН организации или индивидуального предпринимателя, действует от их имени и в их интересах. При опровержении этого предположения Заказчиком признаётся зарегистрировавшееся физическое лицо, а его статус как Заказчика-потребителя определяется по правилам п. 1.2 Оферты.</w:t>
      </w:r>
    </w:p>
    <w:p>
      <w:pPr>
        <w:spacing w:before="0" w:after="0"/>
        <w:ind w:firstLine="709" w:left="0"/>
      </w:pPr>
      <w:r>
        <w:rPr>
          <w:rFonts w:ascii="Times New Roman" w:hAnsi="Times New Roman" w:eastAsia="Times New Roman" w:cs="Times New Roman"/>
          <w:b w:val="0"/>
          <w:sz w:val="24"/>
        </w:rPr>
        <w:t>7.2.2. При оплате банковской картой Заказчик вправе подключить автоматическое продление (подписку). Согласие даётся до совершения платежа выбором в форме оплаты варианта оплаты с автоматическим продлением; такой вариант не является предустановленным и выбирается Заказчиком самостоятельно, при оплате без его выбора подписка не подключается. При подключённой подписке Исполнитель по окончании оплаченного Периода списывает с карты, использованной при оплате, стоимость следующего Периода (при годовой оплате — стоимость года) по тарифу, действующему на дату списания. Реквизиты карты Исполнителю не передаются и им не хранятся: банк-эквайрер предоставляет только идентификатор привязки.</w:t>
      </w:r>
    </w:p>
    <w:p>
      <w:pPr>
        <w:spacing w:before="0" w:after="0"/>
        <w:ind w:firstLine="709" w:left="0"/>
      </w:pPr>
      <w:r>
        <w:rPr>
          <w:rFonts w:ascii="Times New Roman" w:hAnsi="Times New Roman" w:eastAsia="Times New Roman" w:cs="Times New Roman"/>
          <w:b w:val="0"/>
          <w:sz w:val="24"/>
        </w:rPr>
        <w:t>7.2.3. Не позднее чем за 3 (три) календарных дня до каждого списания Исполнитель направляет Заказчику на адрес электронной почты уведомление с суммой и датой предстоящего списания. Заказчик вправе отказаться от подписки в любой момент в Личном кабинете одним действием, без обращения в поддержку; отказ совершается в электронной форме и считается заявленным с момента совершения соответствующего действия в Личном кабинете (пункт 1 статьи 450.1 Гражданского кодекса Российской Федерации), а к Заказчику-потребителю применяется также статья 16.1 Закона о защите прав потребителей в редакции Федерального закона от 15.10.2025 № 376-ФЗ. Отказ совершается способом не менее доступным, чем подключение автоматического продления. С момента отказа Исполнитель прекращает использование реквизитов соответствующей карты для последующих списаний. Отказ прекращает будущие списания и не прекращает оплаченный Период — доступ сохраняется до конца оплаченного срока. Если списание отклонено банком 3 (три) раза подряд, подписка отключается Исполнителем, о чём Заказчик уведомляется по электронной почте.</w:t>
      </w:r>
    </w:p>
    <w:p>
      <w:pPr>
        <w:spacing w:before="0" w:after="0"/>
        <w:ind w:firstLine="709" w:left="0"/>
      </w:pPr>
      <w:r>
        <w:rPr>
          <w:rFonts w:ascii="Times New Roman" w:hAnsi="Times New Roman" w:eastAsia="Times New Roman" w:cs="Times New Roman"/>
          <w:b w:val="0"/>
          <w:sz w:val="24"/>
        </w:rPr>
        <w:t>7.2.4. Дата и время подключения подписки, а также дата и время отказа от неё фиксируются Исполнителем в журнале Сервиса. Выписка из журнала предоставляется Заказчику в течение 5 (пяти) рабочих дней с даты получения запроса, направленного на адрес support@tendik.ru.</w:t>
      </w:r>
    </w:p>
    <w:p>
      <w:pPr>
        <w:spacing w:before="0" w:after="0"/>
        <w:ind w:firstLine="709" w:left="0"/>
      </w:pPr>
      <w:r>
        <w:rPr>
          <w:rFonts w:ascii="Times New Roman" w:hAnsi="Times New Roman" w:eastAsia="Times New Roman" w:cs="Times New Roman"/>
          <w:b w:val="0"/>
          <w:sz w:val="24"/>
        </w:rPr>
        <w:t>7.3. При оплате по счёту Исполнитель предоставляет доступ (открывает Пул) не позднее 3 (трёх) рабочих дней с даты поступления оплаты и уведомляет об этом Заказчика по электронной почте. Период исчисляется с момента фактического предоставления доступа. Если очередной Период оплачен до окончания текущего, новый Период исчисляется с даты предоставления доступа по новой оплате, а неиспользованный остаток Пула текущего Периода переносится в новый Период. Заказчик уведомлён и согласен с тем, что при досрочной оплате не истёкшие дни текущего Периода к новому Периоду не прибавляются: срок доступа исчисляется заново.</w:t>
      </w:r>
    </w:p>
    <w:p>
      <w:pPr>
        <w:spacing w:before="0" w:after="0"/>
        <w:ind w:firstLine="709" w:left="0"/>
      </w:pPr>
      <w:r>
        <w:rPr>
          <w:rFonts w:ascii="Times New Roman" w:hAnsi="Times New Roman" w:eastAsia="Times New Roman" w:cs="Times New Roman"/>
          <w:b w:val="0"/>
          <w:sz w:val="24"/>
        </w:rPr>
        <w:t>7.4. Оплатить можно один Период либо год. Год для целей Оферты означает 12 (двенадцать) следующих подряд Периодов, то есть 360 (триста шестьдесят) календарных дней с даты предоставления доступа, и не является календарным годом. Год оплачивается в размере стоимости 10 (десяти) Периодов. Пул при оплате года предоставляется на каждый Период отдельно; неиспользованный остаток переносится на следующие Периоды в пределах оплаченного года, а по его окончании подчиняется правилу п. 7.5 Оферты. При годовой оплате Заказчику предоставляется подключение 2 (двух) Сайтов поставщика без дополнительной платы в порядке п. 6.4 Оферты.</w:t>
      </w:r>
    </w:p>
    <w:p>
      <w:pPr>
        <w:spacing w:before="0" w:after="0"/>
        <w:ind w:firstLine="709" w:left="0"/>
      </w:pPr>
      <w:r>
        <w:rPr>
          <w:rFonts w:ascii="Times New Roman" w:hAnsi="Times New Roman" w:eastAsia="Times New Roman" w:cs="Times New Roman"/>
          <w:b w:val="0"/>
          <w:sz w:val="24"/>
        </w:rPr>
        <w:t>7.5. По окончании Периода неиспользованный остаток Пула для Просчётов не используется и сохраняется в течение 14 (четырнадцати) календарных дней. Если очередной Период оплачен до окончания текущего либо в течение этих 14 (четырнадцати) дней, остаток переносится в новый Период. Если очередной Период оплачен позже, остаток аннулируется и денежной компенсации не подлежит: плата вносится за предоставление доступа с соответствующим объёмом на Период. Пробные Позиции и Позиции Демо-доступа не переносятся.</w:t>
      </w:r>
    </w:p>
    <w:p>
      <w:pPr>
        <w:spacing w:before="0" w:after="0"/>
        <w:ind w:firstLine="709" w:left="0"/>
      </w:pPr>
      <w:r>
        <w:rPr>
          <w:rFonts w:ascii="Times New Roman" w:hAnsi="Times New Roman" w:eastAsia="Times New Roman" w:cs="Times New Roman"/>
          <w:b w:val="0"/>
          <w:sz w:val="24"/>
        </w:rPr>
        <w:t>7.6. Дополнительные Позиции приобретаются сверх Пула в количестве от 10 (десяти) до 50 000 (пятидесяти тысяч) штук по стоимости дополнительной Позиции, указанной в Приложении № 1 к Оферте. Дополнительно приобретённые Позиции, а также Позиции, начисленные сверх Пула по правилам партнёрской программы, зачисляются в общий остаток Позиций Заказчика и имеют ту же судьбу, что и остаток Пула: переносятся и аннулируются по правилам п. 7.4 и 7.5 Оферты.</w:t>
      </w:r>
    </w:p>
    <w:p>
      <w:pPr>
        <w:spacing w:before="0" w:after="0"/>
        <w:ind w:firstLine="709" w:left="0"/>
      </w:pPr>
      <w:r>
        <w:rPr>
          <w:rFonts w:ascii="Times New Roman" w:hAnsi="Times New Roman" w:eastAsia="Times New Roman" w:cs="Times New Roman"/>
          <w:b w:val="0"/>
          <w:sz w:val="24"/>
        </w:rPr>
        <w:t>7.7. При исчерпании Пула Просчёты приостанавливаются до оплаты очередного Периода, смены Ступени или приобретения дополнительных Позиций (п. 7.6 Оферты). Выполнение Просчётов сверх остатка Пула в долг (кредит) Офертой не предусмотрено.</w:t>
      </w:r>
    </w:p>
    <w:p>
      <w:pPr>
        <w:spacing w:before="0" w:after="0"/>
        <w:ind w:firstLine="709" w:left="0"/>
      </w:pPr>
      <w:r>
        <w:rPr>
          <w:rFonts w:ascii="Times New Roman" w:hAnsi="Times New Roman" w:eastAsia="Times New Roman" w:cs="Times New Roman"/>
          <w:b w:val="0"/>
          <w:sz w:val="24"/>
        </w:rPr>
        <w:t>7.8. Если вследствие одновременно выполнявшихся Просчётов израсходовано больше Позиций, чем оставалось в Пуле, превышение погашается Позициями очередного оплаченного Периода и денежной оплате не подлежит.</w:t>
      </w:r>
    </w:p>
    <w:p>
      <w:pPr>
        <w:spacing w:before="0" w:after="0"/>
        <w:ind w:firstLine="709" w:left="0"/>
      </w:pPr>
      <w:r>
        <w:rPr>
          <w:rFonts w:ascii="Times New Roman" w:hAnsi="Times New Roman" w:eastAsia="Times New Roman" w:cs="Times New Roman"/>
          <w:b w:val="0"/>
          <w:sz w:val="24"/>
        </w:rPr>
        <w:t>7.9. Смена Ступени выполняется оплатой выбранной Ступени в Личном кабинете и вступает в силу с момента подтверждения платежа; при этом начинается новый Период на условиях оплаченной Ступени, а неиспользованный остаток Позиций переносится в порядке п. 7.5 и 7.6 Оферты. Смена Ступени на более низкую возможна при отсутствии задолженности. При оплаченном годе смена Ступени внутри оплаченного года в Личном кабинете не производится и выполняется по обращению Заказчика на адрес support@tendik.ru по согласованию сторон; Исполнитель отвечает на обращение в течение 3 (трёх) рабочих дней.</w:t>
      </w:r>
    </w:p>
    <w:p>
      <w:pPr>
        <w:spacing w:before="0" w:after="0"/>
        <w:ind w:firstLine="709" w:left="0"/>
      </w:pPr>
      <w:r>
        <w:rPr>
          <w:rFonts w:ascii="Times New Roman" w:hAnsi="Times New Roman" w:eastAsia="Times New Roman" w:cs="Times New Roman"/>
          <w:b w:val="0"/>
          <w:sz w:val="24"/>
        </w:rPr>
        <w:t>7.10. Подключение Сайта поставщика (раздел 6 Оферты) оплачивается отдельно: 2 500 (две тысячи пятьсот) рублей за одно подключение. Срок действия подключений определяется п. 6.4 Оферты. Оплата производится в порядке п. 7.2 или 7.2.1 Оферты. Возврат при невозможности обеспечить чтение Сайта поставщика производится по правилам п. 6.3 Оферты.</w:t>
      </w:r>
    </w:p>
    <w:p>
      <w:pPr>
        <w:spacing w:before="0" w:after="0"/>
        <w:ind w:firstLine="709" w:left="0"/>
      </w:pPr>
      <w:r>
        <w:rPr>
          <w:rFonts w:ascii="Times New Roman" w:hAnsi="Times New Roman" w:eastAsia="Times New Roman" w:cs="Times New Roman"/>
          <w:b w:val="0"/>
          <w:sz w:val="24"/>
        </w:rPr>
        <w:t>7.11. Стоимость услуг налогом на добавленную стоимость не облагается: Исполнитель применяет специальный налоговый режим «Автоматизированная упрощённая система налогообложения» и в силу части 6 статьи 2 Федерального закона от 25.02.2022 № 17-ФЗ «О проведении эксперимента по установлению специального налогового режима «Автоматизированная упрощённая система налогообложения» не признаётся налогоплательщиком налога на добавленную стоимость, за исключением налога, уплачиваемого при ввозе товаров на территорию Российской Федерации, и налога, уплачиваемого Исполнителем в качестве налогового агента. Счета и первичные документы выставляются без НДС; цены, указанные на Сайте и в Приложении № 1 к Оферте, НДС не включают.</w:t>
      </w:r>
    </w:p>
    <w:p>
      <w:pPr>
        <w:spacing w:before="0" w:after="0"/>
        <w:ind w:firstLine="709" w:left="0"/>
      </w:pPr>
      <w:r>
        <w:rPr>
          <w:rFonts w:ascii="Times New Roman" w:hAnsi="Times New Roman" w:eastAsia="Times New Roman" w:cs="Times New Roman"/>
          <w:b w:val="0"/>
          <w:sz w:val="24"/>
        </w:rPr>
        <w:t>7.12. При утрате Исполнителем права на применение специального налогового режима либо при прекращении эксперимента, предусмотренного Федеральным законом от 25.02.2022 № 17-ФЗ, Исполнитель уведомляет об этом Заказчика по электронной почте не позднее 3 (трёх) рабочих дней с даты соответствующего события. Стоимость Периодов, оплаченных до направления уведомления, изменению не подлежит. НДС начисляется на стоимость Периодов, оплачиваемых после направления уведомления.</w:t>
      </w:r>
    </w:p>
    <w:p>
      <w:pPr>
        <w:spacing w:before="0" w:after="0"/>
        <w:ind w:firstLine="709" w:left="0"/>
      </w:pPr>
      <w:r>
        <w:rPr>
          <w:rFonts w:ascii="Times New Roman" w:hAnsi="Times New Roman" w:eastAsia="Times New Roman" w:cs="Times New Roman"/>
          <w:b w:val="0"/>
          <w:sz w:val="24"/>
        </w:rPr>
        <w:t>7.13. Услуги оказываются в течение Периода непрерывно. Услуги за Период считаются оказанными надлежащим образом и принятыми Заказчиком в последний день Периода, если до этой даты Заказчик не направил на адрес support@tendik.ru мотивированные возражения. Отчётным периодом является Период. Акт об оказанных услугах (универсальный передаточный документ) Сервисом автоматически не формируется; Исполнитель составляет и направляет его по запросу Заказчика на адрес электронной почты Заказчика в течение 10 (десяти) рабочих дней с даты получения запроса, направленного на support@tendik.ru, а оригинал на бумажном носителе — по письменному запросу Заказчика. Факт и объём оказанных услуг подтверждаются документами, указанными в п. 14.3 Оферты.</w:t>
      </w:r>
    </w:p>
    <w:p>
      <w:pPr>
        <w:spacing w:before="0" w:after="0"/>
        <w:ind w:firstLine="709" w:left="0"/>
      </w:pPr>
      <w:r>
        <w:rPr>
          <w:rFonts w:ascii="Times New Roman" w:hAnsi="Times New Roman" w:eastAsia="Times New Roman" w:cs="Times New Roman"/>
          <w:b w:val="0"/>
          <w:sz w:val="24"/>
        </w:rPr>
        <w:t>7.14. По окончании оплаченного Периода, года или Демо-доступа сведения Заказчика в Сервисе — Закупки в работе, Отчёты, решения, задачи и переписка с Поставщиками — остаются доступны Заказчику для просмотра в Личном кабинете. Изменение этапов, решения, задач и иные действия с Закупками в работе возобновляются после оплаты очередного Периода.</w:t>
      </w:r>
    </w:p>
    <w:p>
      <w:pPr>
        <w:spacing w:before="240" w:after="120"/>
        <w:ind w:firstLine="0" w:left="0"/>
        <w:jc w:val="left"/>
      </w:pPr>
      <w:r>
        <w:rPr>
          <w:rFonts w:ascii="Times New Roman" w:hAnsi="Times New Roman" w:eastAsia="Times New Roman" w:cs="Times New Roman"/>
          <w:b/>
          <w:sz w:val="24"/>
        </w:rPr>
        <w:t>8. Безвозмездный доступ</w:t>
      </w:r>
    </w:p>
    <w:p>
      <w:pPr>
        <w:spacing w:before="0" w:after="0"/>
        <w:ind w:firstLine="709" w:left="0"/>
      </w:pPr>
      <w:r>
        <w:rPr>
          <w:rFonts w:ascii="Times New Roman" w:hAnsi="Times New Roman" w:eastAsia="Times New Roman" w:cs="Times New Roman"/>
          <w:b w:val="0"/>
          <w:sz w:val="24"/>
        </w:rPr>
        <w:t>8.1. Безвозмездный доступ предоставляется в двух формах, объём и срок которых указаны в Приложении № 1 к Оферте: Пробные Позиции, предоставляемые однократно каждому Пользователю без оплаченного доступа, и Демо-доступ — ознакомительный доступ, открываемый по обращению Заказчика на адрес support@tendik.ru и по решению Исполнителя. Исполнитель отвечает на такое обращение в течение 3 (трёх) рабочих дней; отказ в открытии Демо-доступа не требует обоснования и права Заказчика на Пробные Позиции не затрагивает. Демо-доступ предоставляется однократно в отношении одного Заказчика (одного идентификационного номера налогоплательщика) и однократно в отношении одного Пользователя. По окончании Демо-доступа, не сменившегося оплатой, Пользователю предоставляются Пробные Позиции, если он не использовал их ранее.</w:t>
      </w:r>
    </w:p>
    <w:p>
      <w:pPr>
        <w:spacing w:before="0" w:after="0"/>
        <w:ind w:firstLine="709" w:left="0"/>
      </w:pPr>
      <w:r>
        <w:rPr>
          <w:rFonts w:ascii="Times New Roman" w:hAnsi="Times New Roman" w:eastAsia="Times New Roman" w:cs="Times New Roman"/>
          <w:b w:val="0"/>
          <w:sz w:val="24"/>
        </w:rPr>
        <w:t>8.2. При Безвозмездном доступе действуют ограничения: количество Закупок, документы которых Сервис читает за сутки, ограничено Приложением № 1 к Оферте; Просчёт закупки, сведения о которой Заказчик загрузил собственными файлами, выполняется только за счёт оплаченного Пула. Пробные Позиции и Позиции Демо-доступа на следующий Период не переносятся и денежной компенсации не подлежат. При Безвозмездном доступе в форме Пробных Позиций ведение Закупок по этапам, решение и согласование, сроки, задачи и обсуждение по Закупке не предоставляются: доступны поиск Закупок, карточка Закупки, отбор Закупок в избранное, Просчёт в объёме Пробных Позиций, а также подключение Почтового ящика Заказчика и направление Запросов цен Поставщикам по Закупке, выбранной в счёт Пробных Позиций (раздел 5 Оферты). При Демо-доступе Сервис доступен в полном объёме в пределах Позиций и срока Демо-доступа.</w:t>
      </w:r>
    </w:p>
    <w:p>
      <w:pPr>
        <w:spacing w:before="0" w:after="0"/>
        <w:ind w:firstLine="709" w:left="0"/>
      </w:pPr>
      <w:r>
        <w:rPr>
          <w:rFonts w:ascii="Times New Roman" w:hAnsi="Times New Roman" w:eastAsia="Times New Roman" w:cs="Times New Roman"/>
          <w:b w:val="0"/>
          <w:sz w:val="24"/>
        </w:rPr>
        <w:t>8.3. Пробные Позиции и Демо-доступ предоставляются безвозмездно. Исполнитель вправе отказаться от их предоставления в порядке ст. 782 ГК РФ, уведомив Пользователя по электронной почте. Настоящий пункт не применяется к оплаченному доступу; прекращение Безвозмездного доступа оплаченный доступ не затрагивает и основанием для отказа в заключении Договора с Заказчиком-потребителем не является (п. 15.2 и 15.9 Оферты).</w:t>
      </w:r>
    </w:p>
    <w:p>
      <w:pPr>
        <w:spacing w:before="240" w:after="120"/>
        <w:ind w:firstLine="0" w:left="0"/>
        <w:jc w:val="left"/>
      </w:pPr>
      <w:r>
        <w:rPr>
          <w:rFonts w:ascii="Times New Roman" w:hAnsi="Times New Roman" w:eastAsia="Times New Roman" w:cs="Times New Roman"/>
          <w:b/>
          <w:sz w:val="24"/>
        </w:rPr>
        <w:t>9. Права и обязанности сторон</w:t>
      </w:r>
    </w:p>
    <w:p>
      <w:pPr>
        <w:spacing w:before="0" w:after="0"/>
        <w:ind w:firstLine="709" w:left="0"/>
      </w:pPr>
      <w:r>
        <w:rPr>
          <w:rFonts w:ascii="Times New Roman" w:hAnsi="Times New Roman" w:eastAsia="Times New Roman" w:cs="Times New Roman"/>
          <w:b w:val="0"/>
          <w:sz w:val="24"/>
        </w:rPr>
        <w:t>9.1. Исполнитель обязуется: предоставлять доступ к Сервису в соответствии с Офертой; обеспечивать конфиденциальность сведений Заказчика, полученных при исполнении Договора, в порядке и с изъятиями, установленными п. 4.5 и 11.3 Оферты; уведомлять Заказчика о существенных изменениях в работе Сервиса через Сайт или по электронной почте не позднее 3 (трёх) рабочих дней с даты вступления таких изменений в силу. Существенными признаются изменения, влекущие прекращение поиска Закупок, Просчёта Позиций, предоставления Отчётов либо работы с поставщиками; уведомление, размещённое на Сайте, считается направленным с момента размещения.</w:t>
      </w:r>
    </w:p>
    <w:p>
      <w:pPr>
        <w:spacing w:before="0" w:after="0"/>
        <w:ind w:firstLine="709" w:left="0"/>
      </w:pPr>
      <w:r>
        <w:rPr>
          <w:rFonts w:ascii="Times New Roman" w:hAnsi="Times New Roman" w:eastAsia="Times New Roman" w:cs="Times New Roman"/>
          <w:b w:val="0"/>
          <w:sz w:val="24"/>
        </w:rPr>
        <w:t>9.2. Исполнитель вправе: изменять состав функциональных возможностей Сервиса при условии, что изменения не влекут существенного ухудшения возможностей, оплаченных Заказчиком в текущем Периоде (поиск Закупок, Просчёт Позиций, предоставление Отчётов, работа с поставщиками); привлекать третьих лиц для исполнения Договора, оставаясь ответственным за их действия.</w:t>
      </w:r>
    </w:p>
    <w:p>
      <w:pPr>
        <w:spacing w:before="0" w:after="0"/>
        <w:ind w:firstLine="709" w:left="0"/>
      </w:pPr>
      <w:r>
        <w:rPr>
          <w:rFonts w:ascii="Times New Roman" w:hAnsi="Times New Roman" w:eastAsia="Times New Roman" w:cs="Times New Roman"/>
          <w:b w:val="0"/>
          <w:sz w:val="24"/>
        </w:rPr>
        <w:t>9.3. Исполнитель вправе приостановить доступ к Сервису: при наличии задолженности Заказчика — со дня, следующего за днём окончания срока оплаты, указанного в счёте (пункт 2 статьи 328 ГК РФ); при нарушении п. 4.4 Оферты — немедленно; при иных существенных нарушениях Оферты — по истечении 5 (пяти) рабочих дней с даты направления Заказчику по электронной почте требования устранить нарушение, если оно не устранено; при поступлении требования уполномоченного государственного органа — на указанный в требовании срок. Приостановление доступа не затрагивает просмотр ранее сформированных Отчётов в Личном кабинете. О приостановлении Исполнитель уведомляет Заказчика по электронной почте с указанием основания, срока на устранение нарушения и порядка возобновления. Доступ возобновляется не позднее рабочего дня, следующего за днём устранения основания. Если приостановление вызвано обстоятельствами, за которые Заказчик не отвечает, Период продлевается на срок приостановления.</w:t>
      </w:r>
    </w:p>
    <w:p>
      <w:pPr>
        <w:spacing w:before="0" w:after="0"/>
        <w:ind w:firstLine="709" w:left="0"/>
      </w:pPr>
      <w:r>
        <w:rPr>
          <w:rFonts w:ascii="Times New Roman" w:hAnsi="Times New Roman" w:eastAsia="Times New Roman" w:cs="Times New Roman"/>
          <w:b w:val="0"/>
          <w:sz w:val="24"/>
        </w:rPr>
        <w:t>9.4. Заказчик обязуется: своевременно оплачивать услуги; использовать Сервис в соответствии с Офертой и законодательством; поддерживать актуальность контактных данных в Личном кабинете; обеспечивать конфиденциальность доступа к почтовым ящикам своих Пользователей и к Почтовому ящику Заказчика.</w:t>
      </w:r>
    </w:p>
    <w:p>
      <w:pPr>
        <w:spacing w:before="0" w:after="0"/>
        <w:ind w:firstLine="709" w:left="0"/>
      </w:pPr>
      <w:r>
        <w:rPr>
          <w:rFonts w:ascii="Times New Roman" w:hAnsi="Times New Roman" w:eastAsia="Times New Roman" w:cs="Times New Roman"/>
          <w:b w:val="0"/>
          <w:sz w:val="24"/>
        </w:rPr>
        <w:t>9.5. Заказчик заверяет Исполнителя (ст. 431.2 ГК РФ), что: сведения, указанные им при регистрации и оплате, достоверны; он вправе передавать Исполнителю загружаемые материалы; он вправе поручить Исполнителю направление Запросов цен от своего имени и обработку данных представителей Поставщиков в объёме, установленном разделом 11 Оферты; Почтовый ящик Заказчика принадлежит Заказчику либо используется им на законном основании, Заказчик вправе предоставить Исполнителю доступ к нему в объёме раздела 5 Оферты, и лица, пользующиеся этим ящиком, уведомлены Заказчиком о подключении ящика к Сервису и об объёме доступа Исполнителя.</w:t>
      </w:r>
    </w:p>
    <w:p>
      <w:pPr>
        <w:spacing w:before="240" w:after="120"/>
        <w:ind w:firstLine="0" w:left="0"/>
        <w:jc w:val="left"/>
      </w:pPr>
      <w:r>
        <w:rPr>
          <w:rFonts w:ascii="Times New Roman" w:hAnsi="Times New Roman" w:eastAsia="Times New Roman" w:cs="Times New Roman"/>
          <w:b/>
          <w:sz w:val="24"/>
        </w:rPr>
        <w:t>10. Ответственность и ограничения</w:t>
      </w:r>
    </w:p>
    <w:p>
      <w:pPr>
        <w:spacing w:before="0" w:after="0"/>
        <w:ind w:firstLine="709" w:left="0"/>
      </w:pPr>
      <w:r>
        <w:rPr>
          <w:rFonts w:ascii="Times New Roman" w:hAnsi="Times New Roman" w:eastAsia="Times New Roman" w:cs="Times New Roman"/>
          <w:b w:val="0"/>
          <w:sz w:val="24"/>
        </w:rPr>
        <w:t>10.1. Сведения о Закупках формируются на основе открытых источников. Исполнитель принимает разумные меры для обеспечения полноты и актуальности данных, однако не отвечает за содержание, достоверность и своевременность сведений, размещённых в первоисточниках, а также за решения, принятые Заказчиком на основе Отчётов.</w:t>
      </w:r>
    </w:p>
    <w:p>
      <w:pPr>
        <w:spacing w:before="0" w:after="0"/>
        <w:ind w:firstLine="709" w:left="0"/>
      </w:pPr>
      <w:r>
        <w:rPr>
          <w:rFonts w:ascii="Times New Roman" w:hAnsi="Times New Roman" w:eastAsia="Times New Roman" w:cs="Times New Roman"/>
          <w:b w:val="0"/>
          <w:sz w:val="24"/>
        </w:rPr>
        <w:t>10.2. Исполнитель не гарантирует победу Заказчика в Закупках, заключение контрактов или достижение какого-либо экономического результата. Исполнитель не гарантирует полноту состава источников: внешние источники изменяют порядок предоставления сведений, ограничивают автоматизированный доступ и предоставляют данные с задержкой.</w:t>
      </w:r>
    </w:p>
    <w:p>
      <w:pPr>
        <w:spacing w:before="0" w:after="0"/>
        <w:ind w:firstLine="709" w:left="0"/>
      </w:pPr>
      <w:r>
        <w:rPr>
          <w:rFonts w:ascii="Times New Roman" w:hAnsi="Times New Roman" w:eastAsia="Times New Roman" w:cs="Times New Roman"/>
          <w:b w:val="0"/>
          <w:sz w:val="24"/>
        </w:rPr>
        <w:t>10.3. Совокупная ответственность Исполнителя по Договору ограничена суммой, фактически уплаченной Заказчиком за Период, в котором возникло основание ответственности. Упущенная выгода возмещению не подлежит. Возмещению также не подлежат: суммы неустоек, штрафов и пеней, уплаченных или подлежащих уплате Заказчиком третьим лицам, включая заказчиков Закупок и заказчиков по контрактам; расходы на обеспечение заявки и обеспечение исполнения контракта, включая стоимость независимой гарантии; убытки, связанные с включением сведений о Заказчике в реестр недобросовестных поставщиков; вред деловой репутации. Ограничения, установленные настоящим пунктом, не применяются к убыткам, причинённым умышленным нарушением Исполнителем обязательств по Договору (п. 4 ст. 401 ГК РФ). Ограничения, установленные настоящим пунктом, применяются в части, в которой они допускаются законом, и не применяются к ответственности, размер которой установлен законом. При Безвозмездном доступе совокупная ответственность Исполнителя ограничена суммой, равной стоимости одного Периода Ступени «Старт» согласно Приложению № 1 к Оферте.</w:t>
      </w:r>
    </w:p>
    <w:p>
      <w:pPr>
        <w:spacing w:before="0" w:after="0"/>
        <w:ind w:firstLine="709" w:left="0"/>
      </w:pPr>
      <w:r>
        <w:rPr>
          <w:rFonts w:ascii="Times New Roman" w:hAnsi="Times New Roman" w:eastAsia="Times New Roman" w:cs="Times New Roman"/>
          <w:b w:val="0"/>
          <w:sz w:val="24"/>
        </w:rPr>
        <w:t>10.4. Особенности ответственности при Просчёте. Исполнитель не отвечает за то, что цена, включённая в Отчёт, изменилась, товар отсутствует у продавца, отличается комплектацией, минимальной партией, регионом или условиями поставки; за отсутствие цены по отдельным Позициям (такие Позиции из Пула не списываются); за результат распознавания характеристик товара из документов Закупки. Заказчик проверяет включённые в Отчёт цены и характеристики по первоисточникам (п. 2.8 Оферты).</w:t>
      </w:r>
    </w:p>
    <w:p>
      <w:pPr>
        <w:spacing w:before="0" w:after="0"/>
        <w:ind w:firstLine="709" w:left="0"/>
      </w:pPr>
      <w:r>
        <w:rPr>
          <w:rFonts w:ascii="Times New Roman" w:hAnsi="Times New Roman" w:eastAsia="Times New Roman" w:cs="Times New Roman"/>
          <w:b w:val="0"/>
          <w:sz w:val="24"/>
        </w:rPr>
        <w:t>10.5. Особенности ответственности при работе с поставщиками. Исполнитель не отвечает: за доставку Запроса цен Поставщику и за поступление Ответа поставщика, включая работу почтовых служб и фильтров нежелательной почты; за содержание Запроса цен, определённое Заказчиком, и за последствия его направления конкретным Поставщикам; за достоверность сведений Ответа поставщика и за исполнение Поставщиком обязательств перед Заказчиком; за полноту и правильность автоматического разбора Ответа поставщика (п. 5.7 Оферты). Исполнитель отвечает за соблюдение установленных п. 5.4 и 5.6 Оферты ограничений доступа к Почтовому ящику Заказчика.</w:t>
      </w:r>
    </w:p>
    <w:p>
      <w:pPr>
        <w:spacing w:before="0" w:after="0"/>
        <w:ind w:firstLine="709" w:left="0"/>
      </w:pPr>
      <w:r>
        <w:rPr>
          <w:rFonts w:ascii="Times New Roman" w:hAnsi="Times New Roman" w:eastAsia="Times New Roman" w:cs="Times New Roman"/>
          <w:b w:val="0"/>
          <w:sz w:val="24"/>
        </w:rPr>
        <w:t>10.6. Стороны освобождаются от ответственности за неисполнение обязательств вследствие обстоятельств непреодолимой силы (п. 3 ст. 401 ГК РФ) на время действия таких обстоятельств. К таким обстоятельствам стороны относят в том числе: стихийные бедствия; военные действия; массовые беспорядки; аварии и отказы систем связи и электроснабжения, не зависящие от стороны; компьютерные атаки, включая атаки, вызывающие отказ в обслуживании, на ресурсы стороны или её поставщиков; принятие органами государственной власти актов, препятствующих исполнению Договора. Сторона, для которой наступили такие обстоятельства, уведомляет другую сторону в течение 14 (четырнадцати) календарных дней с даты их наступления.</w:t>
      </w:r>
    </w:p>
    <w:p>
      <w:pPr>
        <w:spacing w:before="0" w:after="0"/>
        <w:ind w:firstLine="709" w:left="0"/>
      </w:pPr>
      <w:r>
        <w:rPr>
          <w:rFonts w:ascii="Times New Roman" w:hAnsi="Times New Roman" w:eastAsia="Times New Roman" w:cs="Times New Roman"/>
          <w:b w:val="0"/>
          <w:sz w:val="24"/>
        </w:rPr>
        <w:t>10.7. Приостановление, ограничение или изменение работы внешних источников данных, включая единую информационную систему в сфере закупок и электронные торговые площадки, а также изменение порядка предоставления ими сведений не являются нарушением Договора со стороны Исполнителя. Исполнитель вправе приостановить оказание услуг на время действия таких обстоятельств с продлением Периода на соответствующий срок.</w:t>
      </w:r>
    </w:p>
    <w:p>
      <w:pPr>
        <w:spacing w:before="0" w:after="0"/>
        <w:ind w:firstLine="709" w:left="0"/>
      </w:pPr>
      <w:r>
        <w:rPr>
          <w:rFonts w:ascii="Times New Roman" w:hAnsi="Times New Roman" w:eastAsia="Times New Roman" w:cs="Times New Roman"/>
          <w:b w:val="0"/>
          <w:sz w:val="24"/>
        </w:rPr>
        <w:t>10.8. Заказчик вправе как до акцепта, так и в течение срока действия Договора предложить Исполнителю заключить договор на индивидуальных условиях, в том числе с иным пределом ответственности Исполнителя и иной стоимостью услуг, направив запрос на адрес support@tendik.ru. Исполнитель рассматривает такой запрос и направляет ответ в течение 10 (десяти) рабочих дней с даты его получения. Совершая акцепт, Заказчик подтверждает, что имел возможность предложить заключение договора на индивидуальных условиях. Настоящий пункт не применяется к Заказчику-потребителю: договор с ним является публичным и заключается на одинаковых для всех потребителей условиях (п. 15.2 Оферты, п. 2 ст. 426 ГК РФ).</w:t>
      </w:r>
    </w:p>
    <w:p>
      <w:pPr>
        <w:spacing w:before="0" w:after="0"/>
        <w:ind w:firstLine="709" w:left="0"/>
      </w:pPr>
      <w:r>
        <w:rPr>
          <w:rFonts w:ascii="Times New Roman" w:hAnsi="Times New Roman" w:eastAsia="Times New Roman" w:cs="Times New Roman"/>
          <w:b w:val="0"/>
          <w:sz w:val="24"/>
        </w:rPr>
        <w:t>10.9. Заказчик возмещает Исполнителю потери, возникшие в связи с содержанием Запросов цен и иных сообщений, направленных с Почтового ящика Заказчика по его заданию, с выбором Поставщиков, которым они направлены, и с неправомерностью внесённых Заказчиком в Сервис персональных данных (ст. 406.1 ГК РФ). Возмещению подлежат: суммы административных штрафов, наложенных на Исполнителя по указанным основаниям; суммы, присуждённые третьим лицам либо уплаченные им по признанному Исполнителем требованию; разумные расходы Исполнителя на юридическую защиту. Возмещение производится в течение 10 (десяти) рабочих дней с даты получения Заказчиком требования Исполнителя с приложением подтверждающих документов. Исполнитель вправе зачесть подлежащую возмещению сумму в счёт остатка Позиций Заказчика по стоимости одной Позиции его Ступени либо в счёт суммы, подлежащей возврату Заказчику. Наступление указанных потерь не связывается с нарушением обязательства Заказчиком. Настоящий пункт к Заказчику-потребителю не применяется (п. 15.9 Оферты).</w:t>
      </w:r>
    </w:p>
    <w:p>
      <w:pPr>
        <w:spacing w:before="240" w:after="120"/>
        <w:ind w:firstLine="0" w:left="0"/>
        <w:jc w:val="left"/>
      </w:pPr>
      <w:r>
        <w:rPr>
          <w:rFonts w:ascii="Times New Roman" w:hAnsi="Times New Roman" w:eastAsia="Times New Roman" w:cs="Times New Roman"/>
          <w:b/>
          <w:sz w:val="24"/>
        </w:rPr>
        <w:t>11. Персональные данные и конфиденциальность</w:t>
      </w:r>
    </w:p>
    <w:p>
      <w:pPr>
        <w:spacing w:before="0" w:after="0"/>
        <w:ind w:firstLine="709" w:left="0"/>
      </w:pPr>
      <w:r>
        <w:rPr>
          <w:rFonts w:ascii="Times New Roman" w:hAnsi="Times New Roman" w:eastAsia="Times New Roman" w:cs="Times New Roman"/>
          <w:b w:val="0"/>
          <w:sz w:val="24"/>
        </w:rPr>
        <w:t>11.1. Персональные данные Пользователей обрабатываются Исполнителем в соответствии с Федеральным законом от 27.07.2006 № 152-ФЗ «О персональных данных» и Политикой в отношении обработки персональных данных, размещённой на Сайте по адресу https://tendik.ru/politika-pdn.html. Обращения субъектов персональных данных направляются на адрес support@tendik.ru.</w:t>
      </w:r>
    </w:p>
    <w:p>
      <w:pPr>
        <w:spacing w:before="0" w:after="0"/>
        <w:ind w:firstLine="709" w:left="0"/>
      </w:pPr>
      <w:r>
        <w:rPr>
          <w:rFonts w:ascii="Times New Roman" w:hAnsi="Times New Roman" w:eastAsia="Times New Roman" w:cs="Times New Roman"/>
          <w:b w:val="0"/>
          <w:sz w:val="24"/>
        </w:rPr>
        <w:t>11.2. Заказчик подтверждает, что уведомил своих Пользователей и Согласующих о передаче их данных Исполнителю в целях исполнения Договора и о том, что обработка этих данных осуществляется Исполнителем в порядке, установленном Политикой в отношении обработки персональных данных.</w:t>
      </w:r>
    </w:p>
    <w:p>
      <w:pPr>
        <w:spacing w:before="0" w:after="0"/>
        <w:ind w:firstLine="709" w:left="0"/>
      </w:pPr>
      <w:r>
        <w:rPr>
          <w:rFonts w:ascii="Times New Roman" w:hAnsi="Times New Roman" w:eastAsia="Times New Roman" w:cs="Times New Roman"/>
          <w:b w:val="0"/>
          <w:sz w:val="24"/>
        </w:rPr>
        <w:t>11.3. Конфиденциальной признаётся полученная стороной в связи с исполнением Договора информация другой стороны, не являющаяся общедоступной, в том числе загруженные Заказчиком материалы, Собственный прайс, сообщённые Заказчиком собственные цены, Книга поставщиков и Ответы поставщиков. Стороны обязуются не разглашать конфиденциальную информацию третьим лицам в течение срока действия Договора и 3 (трёх) лет после его прекращения, за исключением случаев, предусмотренных законодательством Российской Федерации, и случаев, прямо предусмотренных Офертой, включая передачу материалов лицам, привлечённым к исполнению Договора (п. 4.5, 9.2 Оферты). Сведения о Закупках, полученные из открытых источников, конфиденциальными не являются. Цены, найденные для Заказчика, его Собственный прайс, Книга поставщиков и Отчёты доступны только Пользователям этого Заказчика и другим Заказчикам не показываются. Исполнитель принимает разумные меры к тому, чтобы привлечённые им лица соблюдали конфиденциальность переданных им материалов, и отвечает за их действия как за свои собственные. Режим конфиденциальности, установленный настоящим пунктом, не ограничивает использование Заказчиком собственных Отчётов и загруженных им материалов в порядке п. 2.3 Оферты.</w:t>
      </w:r>
    </w:p>
    <w:p>
      <w:pPr>
        <w:spacing w:before="0" w:after="0"/>
        <w:ind w:firstLine="709" w:left="0"/>
      </w:pPr>
      <w:r>
        <w:rPr>
          <w:rFonts w:ascii="Times New Roman" w:hAnsi="Times New Roman" w:eastAsia="Times New Roman" w:cs="Times New Roman"/>
          <w:b w:val="0"/>
          <w:sz w:val="24"/>
        </w:rPr>
        <w:t>11.4. Персональные данные Пользователей (фамилия, имя, адрес электронной почты) обрабатываются Исполнителем как самостоятельным оператором в целях и на основаниях, указанных в Политике в отношении обработки персональных данных. По поручению Заказчика (часть 3 статьи 6 Федерального закона № 152-ФЗ) Исполнитель обрабатывает следующие персональные данные: адрес электронной почты, на который Заказчик распорядился направить одноразовую ссылку на экран согласования, и сведения о принятом по этой ссылке решении; сведения о представителях Поставщиков, содержащиеся в Книге поставщиков, в Запросах цен и в Ответах поставщиков, — фамилия, имя, отчество, должность, адрес электронной почты, телефон, наименование представляемой организации. Категории субъектов: Согласующие Заказчика; представители Поставщиков. Сведения о Пользователях, включая сведения об их действиях в Личном кабинете и журналы безопасности, Исполнитель обрабатывает как самостоятельный оператор. Поручаемые действия: сбор, запись, систематизация, накопление, хранение, уточнение (обновление, изменение), извлечение, использование, передача лицам, привлечённым к исполнению Договора, в объёме п. 4.5 Оферты, блокирование, удаление, уничтожение. Цель обработки: исполнение Договора в части, установленной разделами 2, 5 и 6 Оферты. Срок обработки: срок действия Договора и срок хранения данных, установленный п. 12.4 Оферты. Исполнитель обязуется соблюдать конфиденциальность обрабатываемых по поручению персональных данных, не обрабатывать их в собственных целях, выполнять требования статей 18.1 и 19 Федерального закона № 152-ФЗ и принимать меры по обеспечению их безопасности, не менее строгие, чем меры, применяемые им к собственным данным. Об инциденте, повлёкшем неправомерную передачу обрабатываемых по поручению персональных данных, Исполнитель уведомляет Заказчика не позднее 24 (двадцати четырёх) часов с момента его выявления, независимо от выходных и нерабочих праздничных дней, направив уведомление на адрес электронной почты Заказчика, указанный в Личном кабинете. По завершении обработки данные уничтожаются либо возвращаются Заказчику по его выбору. Согласие субъектов на обработку персональных данных получает Заказчик; ответственность перед субъектом за действия Исполнителя несёт Заказчик, а Исполнитель отвечает перед Заказчиком.</w:t>
      </w:r>
    </w:p>
    <w:p>
      <w:pPr>
        <w:spacing w:before="0" w:after="0"/>
        <w:ind w:firstLine="709" w:left="0"/>
      </w:pPr>
      <w:r>
        <w:rPr>
          <w:rFonts w:ascii="Times New Roman" w:hAnsi="Times New Roman" w:eastAsia="Times New Roman" w:cs="Times New Roman"/>
          <w:b w:val="0"/>
          <w:sz w:val="24"/>
        </w:rPr>
        <w:t>11.5. Заказчик гарантирует, что имеет правовое основание для обработки персональных данных представителей Поставщиков, которые он вносит в Сервис или которым поручает направить Запросы цен, и для поручения их обработки Исполнителю. Обязанность предоставить субъекту персональных данных сведения, предусмотренные частью 3 статьи 18 Федерального закона № 152-ФЗ, при получении данных не от самого субъекта исполняет Заказчик. Исполнитель эту обязанность за Заказчика не исполняет и обращения таких субъектов, поступившие ему, передаёт Заказчику в течение 3 (трёх) рабочих дней.</w:t>
      </w:r>
    </w:p>
    <w:p>
      <w:pPr>
        <w:spacing w:before="240" w:after="120"/>
        <w:ind w:firstLine="0" w:left="0"/>
        <w:jc w:val="left"/>
      </w:pPr>
      <w:r>
        <w:rPr>
          <w:rFonts w:ascii="Times New Roman" w:hAnsi="Times New Roman" w:eastAsia="Times New Roman" w:cs="Times New Roman"/>
          <w:b/>
          <w:sz w:val="24"/>
        </w:rPr>
        <w:t>12. Срок действия, изменение и расторжение Договора</w:t>
      </w:r>
    </w:p>
    <w:p>
      <w:pPr>
        <w:spacing w:before="0" w:after="0"/>
        <w:ind w:firstLine="709" w:left="0"/>
      </w:pPr>
      <w:r>
        <w:rPr>
          <w:rFonts w:ascii="Times New Roman" w:hAnsi="Times New Roman" w:eastAsia="Times New Roman" w:cs="Times New Roman"/>
          <w:b w:val="0"/>
          <w:sz w:val="24"/>
        </w:rPr>
        <w:t>12.1. Договор действует с момента акцепта до окончания последнего оплаченного Периода, а в части Безвозмездного доступа — до его прекращения. Прекращение Договора не прекращает обязательств, возникших до его прекращения и не исполненных к этому моменту. Пункты 4.2, 4.2.1, раздел 10, п. 11.3, 11.4, 12.4, раздел 13, п. 14.1 и 14.3, а также раздел 15 Оферты действуют до полного исполнения сторонами возникших из Договора обязательств (п. 3 и 4 ст. 425 ГК РФ).</w:t>
      </w:r>
    </w:p>
    <w:p>
      <w:pPr>
        <w:spacing w:before="0" w:after="0"/>
        <w:ind w:firstLine="709" w:left="0"/>
      </w:pPr>
      <w:r>
        <w:rPr>
          <w:rFonts w:ascii="Times New Roman" w:hAnsi="Times New Roman" w:eastAsia="Times New Roman" w:cs="Times New Roman"/>
          <w:b w:val="0"/>
          <w:sz w:val="24"/>
        </w:rPr>
        <w:t>12.2. Заказчик вправе отказаться от Договора в одностороннем порядке в любое время (ст. 782 ГК РФ), направив уведомление на support@tendik.ru; никакие штрафы, комиссии и удержания за сам факт отказа не взимаются. Доступ прекращается по окончании текущего оплаченного Периода либо ранее, если Заказчик потребовал этого в уведомлении. При оплате одного Периода уплаченная сумма возврату не подлежит: плата внесена за предоставление доступа на Период (п. 2.5, 7.5 Оферты). При годовой оплате возврату подлежит сумма, определяемая по формуле В = О − Н × С, где О — фактически уплаченная за год сумма, Н — количество начатых Периодов на дату прекращения доступа, включая текущий, С — стоимость одного Периода по Ступени, действовавшей на дату оплаты. Величина С определяется без учёта скидки за годовую оплату: годовая цена предоставляется при условии оплаты 12 (двенадцати) Периодов, и при досрочном прекращении фактически использованные Периоды пересчитываются по стоимости одного Периода. Правило об определении величины С без учёта скидки за годовую оплату применяется к Заказчику, действующему в предпринимательских целях, и является условием предоставления годовой цены; возврат Заказчику-потребителю определяется по правилам п. 15.3 Оферты. Если рассчитанная величина равна нулю или отрицательна, возврат не производится. Возврат осуществляется в течение 10 (десяти) рабочих дней с даты получения Исполнителем заявления Заказчика, направленного в порядке п. 14.1 Оферты. При оплате по счёту возврат производится на расчётный счёт, с которого поступила оплата; при оплате банковской картой — на карту, использованную при оплате. Иные реквизиты возврата указываются Заказчиком в заявлении.</w:t>
      </w:r>
    </w:p>
    <w:p>
      <w:pPr>
        <w:spacing w:before="0" w:after="0"/>
        <w:ind w:firstLine="709" w:left="0"/>
      </w:pPr>
      <w:r>
        <w:rPr>
          <w:rFonts w:ascii="Times New Roman" w:hAnsi="Times New Roman" w:eastAsia="Times New Roman" w:cs="Times New Roman"/>
          <w:b w:val="0"/>
          <w:sz w:val="24"/>
        </w:rPr>
        <w:t>12.3. Исполнитель вправе расторгнуть Договор в одностороннем внесудебном порядке при существенном нарушении Заказчиком условий Оферты, уведомив Заказчика в порядке п. 14.1 Оферты с указанием основания расторжения. При годовой оплате Исполнитель возвращает Заказчику сумму, определяемую по формуле пункта 12.2 Оферты; при оплате одного Периода уплаченная сумма возврату не подлежит. Доступ прекращается с даты, указанной в уведомлении Исполнителя о расторжении. Возврат производится в течение 10 (десяти) рабочих дней с даты получения от Заказчика банковских реквизитов. Если рассчитанная величина равна нулю или отрицательна, возврат не производится. Расторжение Договора и прекращение доступа без указания основания в отношении Заказчика с оплаченным доступом не допускаются. Возврат Заказчику-потребителю определяется по правилам п. 15.3 Оферты.</w:t>
      </w:r>
    </w:p>
    <w:p>
      <w:pPr>
        <w:spacing w:before="0" w:after="0"/>
        <w:ind w:firstLine="709" w:left="0"/>
      </w:pPr>
      <w:r>
        <w:rPr>
          <w:rFonts w:ascii="Times New Roman" w:hAnsi="Times New Roman" w:eastAsia="Times New Roman" w:cs="Times New Roman"/>
          <w:b w:val="0"/>
          <w:sz w:val="24"/>
        </w:rPr>
        <w:t>12.4. Отчёты, сформированные в течение срока действия Договора, а также загруженные Заказчиком материалы, Книга поставщиков, Собственный прайс и результаты разбора Ответов поставщиков доступны Заказчику для просмотра и выгрузки не менее 30 (тридцати) календарных дней после окончания последнего оплаченного Периода. По истечении этого срока Исполнитель вправе их удалить, а по обращению Заказчика на адрес support@tendik.ru удаляет их и уничтожает персональные данные, обрабатываемые по поручению Заказчика (п. 11.4 Оферты), в течение 30 (тридцати) календарных дней с даты получения обращения. Учётные данные Почтового ящика Заказчика уничтожаются в срок, установленный п. 5.4 Оферты, независимо от такого обращения. Учётная запись Пользователя и Личный кабинет Заказчика после прекращения Договора не удаляются: сведения о них сохраняются для целей учёта, разрешения споров и исполнения требований законодательства; по требованию субъекта персональных данных учётная запись обезличивается в порядке, установленном Политикой.</w:t>
      </w:r>
    </w:p>
    <w:p>
      <w:pPr>
        <w:spacing w:before="240" w:after="120"/>
        <w:ind w:firstLine="0" w:left="0"/>
        <w:jc w:val="left"/>
      </w:pPr>
      <w:r>
        <w:rPr>
          <w:rFonts w:ascii="Times New Roman" w:hAnsi="Times New Roman" w:eastAsia="Times New Roman" w:cs="Times New Roman"/>
          <w:b/>
          <w:sz w:val="24"/>
        </w:rPr>
        <w:t>13. Претензии и споры</w:t>
      </w:r>
    </w:p>
    <w:p>
      <w:pPr>
        <w:spacing w:before="0" w:after="0"/>
        <w:ind w:firstLine="709" w:left="0"/>
      </w:pPr>
      <w:r>
        <w:rPr>
          <w:rFonts w:ascii="Times New Roman" w:hAnsi="Times New Roman" w:eastAsia="Times New Roman" w:cs="Times New Roman"/>
          <w:b w:val="0"/>
          <w:sz w:val="24"/>
        </w:rPr>
        <w:t>13.1. Споры разрешаются в претензионном порядке. Претензия направляется на адрес электронной почты стороны (для Исполнителя — support@tendik.ru) либо по почтовому адресу и рассматривается в течение 15 (пятнадцати) рабочих дней с даты направления. По истечении указанного срока либо при получении отказа в удовлетворении претензии сторона вправе обратиться в суд. Стороны признают направление претензии по электронной почте надлежащим соблюдением досудебного порядка урегулирования спора (ч. 5 ст. 4 АПК РФ). Претензия о неполном или ненадлежащем объёме оказанных услуг направляется не позднее 1 (одного) месяца с даты, когда Заказчик узнал или должен был узнать о соответствующих обстоятельствах. Пропуск указанного срока не лишает сторону права на предъявление требования и на обращение в суд; последствием пропуска является только необходимость подтвердить обстоятельства данными, доступными на дату обращения. Правило о месячном сроке направления такой претензии к Заказчику-потребителю не применяется (п. 15.9 Оферты).</w:t>
      </w:r>
    </w:p>
    <w:p>
      <w:pPr>
        <w:spacing w:before="0" w:after="0"/>
        <w:ind w:firstLine="709" w:left="0"/>
      </w:pPr>
      <w:r>
        <w:rPr>
          <w:rFonts w:ascii="Times New Roman" w:hAnsi="Times New Roman" w:eastAsia="Times New Roman" w:cs="Times New Roman"/>
          <w:b w:val="0"/>
          <w:sz w:val="24"/>
        </w:rPr>
        <w:t>13.2. Стороны в соответствии со статьёй 37 АПК РФ и статьёй 32 ГПК РФ устанавливают договорную подсудность: споры, не урегулированные в претензионном порядке, подлежат рассмотрению в Арбитражном суде города Санкт-Петербурга и Ленинградской области, а если спор не относится к компетенции арбитражных судов — в суде по месту нахождения Исполнителя с соблюдением правил родовой подсудности, установленных ГПК РФ. Положения настоящего пункта не применяются к Заказчику-потребителю (п. 15.5 Оферты).</w:t>
      </w:r>
    </w:p>
    <w:p>
      <w:pPr>
        <w:spacing w:before="240" w:after="120"/>
        <w:ind w:firstLine="0" w:left="0"/>
        <w:jc w:val="left"/>
      </w:pPr>
      <w:r>
        <w:rPr>
          <w:rFonts w:ascii="Times New Roman" w:hAnsi="Times New Roman" w:eastAsia="Times New Roman" w:cs="Times New Roman"/>
          <w:b/>
          <w:sz w:val="24"/>
        </w:rPr>
        <w:t>14. Прочие условия</w:t>
      </w:r>
    </w:p>
    <w:p>
      <w:pPr>
        <w:spacing w:before="0" w:after="0"/>
        <w:ind w:firstLine="709" w:left="0"/>
      </w:pPr>
      <w:r>
        <w:rPr>
          <w:rFonts w:ascii="Times New Roman" w:hAnsi="Times New Roman" w:eastAsia="Times New Roman" w:cs="Times New Roman"/>
          <w:b w:val="0"/>
          <w:sz w:val="24"/>
        </w:rPr>
        <w:t>14.1. Документы и уведомления, направленные по адресам электронной почты сторон (для Исполнителя — support@tendik.ru, для Заказчика — адрес, указанный при регистрации или в заявке на счёт), имеют юридическую силу. Уведомление считается полученным адресатом на следующий рабочий день после дня его направления по указанному адресу электронной почты, в том числе если адресат не ознакомился с ним по зависящим от него обстоятельствам (п. 1 ст. 165.1 ГК РФ). Риск неполучения сообщений, направленных по указанному стороной адресу электронной почты, несёт эта сторона. Об изменении адреса электронной почты сторона уведомляет другую сторону не позднее 3 (трёх) рабочих дней; до получения такого уведомления сообщения, направленные по прежнему адресу, считаются направленными надлежащим образом. Стороны признают юридическую силу документов, полученных по электронным каналам связи, наравне с документами, исполненными в простой письменной форме.</w:t>
      </w:r>
    </w:p>
    <w:p>
      <w:pPr>
        <w:spacing w:before="0" w:after="0"/>
        <w:ind w:firstLine="709" w:left="0"/>
      </w:pPr>
      <w:r>
        <w:rPr>
          <w:rFonts w:ascii="Times New Roman" w:hAnsi="Times New Roman" w:eastAsia="Times New Roman" w:cs="Times New Roman"/>
          <w:b w:val="0"/>
          <w:sz w:val="24"/>
        </w:rPr>
        <w:t>14.2. Языком Договора и переписки сторон является русский язык. К Договору применяется право Российской Федерации. Во всём, что не урегулировано Офертой, стороны руководствуются законодательством Российской Федерации.</w:t>
      </w:r>
    </w:p>
    <w:p>
      <w:pPr>
        <w:spacing w:before="0" w:after="0"/>
        <w:ind w:firstLine="709" w:left="0"/>
      </w:pPr>
      <w:r>
        <w:rPr>
          <w:rFonts w:ascii="Times New Roman" w:hAnsi="Times New Roman" w:eastAsia="Times New Roman" w:cs="Times New Roman"/>
          <w:b w:val="0"/>
          <w:sz w:val="24"/>
        </w:rPr>
        <w:t>14.3. Документами, подтверждающими заключение и исполнение Договора, являются: при оплате по счёту — счёт, платёжное поручение Заказчика с отметкой банка и акт об оказанных услугах, составленный по запросу Заказчика (п. 7.13 Оферты); при оплате банковской картой — кассовый чек, направленный на адрес электронной почты Заказчика, и акт об оказанных услугах, составленный по запросу Заказчика, а для Заказчика-потребителя — кассовый чек (п. 15.7 Оферты). Факт и объём оказанных услуг подтверждаются также данными журналов Сервиса, предоставляемыми по запросу Заказчика. По запросу Заказчика Исполнитель предоставляет заверенную им копию действующей редакции Оферты на бумажном носителе для целей бухгалтерского учёта Заказчика в течение 10 (десяти) рабочих дней с даты получения запроса.</w:t>
      </w:r>
    </w:p>
    <w:p>
      <w:pPr>
        <w:spacing w:before="0" w:after="0"/>
        <w:ind w:firstLine="709" w:left="0"/>
      </w:pPr>
      <w:r>
        <w:rPr>
          <w:rFonts w:ascii="Times New Roman" w:hAnsi="Times New Roman" w:eastAsia="Times New Roman" w:cs="Times New Roman"/>
          <w:b w:val="0"/>
          <w:sz w:val="24"/>
        </w:rPr>
        <w:t>14.4. При расхождении сведений, направленных Исполнителем по электронной почте, и сведений, опубликованных на Сайте, надлежащими признаются сведения, опубликованные на Сайте. Настоящее правило не применяется к уведомлениям об изменении Оферты и тарифов (п. 1.4 Оферты), к уведомлениям о предстоящем списании (п. 7.2.3 Оферты) и к иным адресованным конкретному Заказчику уведомлениям, порождающим его права.</w:t>
      </w:r>
    </w:p>
    <w:p>
      <w:pPr>
        <w:spacing w:before="0" w:after="0"/>
        <w:ind w:firstLine="709" w:left="0"/>
      </w:pPr>
      <w:r>
        <w:rPr>
          <w:rFonts w:ascii="Times New Roman" w:hAnsi="Times New Roman" w:eastAsia="Times New Roman" w:cs="Times New Roman"/>
          <w:b w:val="0"/>
          <w:sz w:val="24"/>
        </w:rPr>
        <w:t>14.5. Стороны при исполнении Договора не совершают действий, квалифицируемых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равно иных действий, нарушающих требования Федерального закона от 25.12.2008 № 273-ФЗ «О противодействии коррупции». При возникновении у стороны обоснованных подозрений о нарушении настоящего пункта она уведомляет об этом другую сторону в письменной форме; при неполучении подтверждения о непричастности в течение 10 (десяти) рабочих дней сторона вправе отказаться от Договора в одностороннем внесудебном порядке, направив уведомление в порядке п. 14.1 Оферты. Убытки, вызванные таким отказом, стороны друг другу не возмещают.</w:t>
      </w:r>
    </w:p>
    <w:p>
      <w:pPr>
        <w:spacing w:before="0" w:after="0"/>
        <w:ind w:firstLine="709" w:left="0"/>
      </w:pPr>
      <w:r>
        <w:rPr>
          <w:rFonts w:ascii="Times New Roman" w:hAnsi="Times New Roman" w:eastAsia="Times New Roman" w:cs="Times New Roman"/>
          <w:b w:val="0"/>
          <w:sz w:val="24"/>
        </w:rPr>
        <w:t>14.6. Заказчик не вправе уступать права и переводить обязанности по Договору третьим лицам без письменного согласия Исполнителя.</w:t>
      </w:r>
    </w:p>
    <w:p>
      <w:pPr>
        <w:spacing w:before="0" w:after="0"/>
        <w:ind w:firstLine="709" w:left="0"/>
      </w:pPr>
      <w:r>
        <w:rPr>
          <w:rFonts w:ascii="Times New Roman" w:hAnsi="Times New Roman" w:eastAsia="Times New Roman" w:cs="Times New Roman"/>
          <w:b w:val="0"/>
          <w:sz w:val="24"/>
        </w:rPr>
        <w:t>14.7. Признание отдельного условия Оферты недействительным, незаключённым или неприменимым не влечёт недействительности, незаключённости или неприменимости остальных её условий. Такое условие применяется в части, в которой оно допустимо законом, а при невозможности такого применения считается заменённым условием, наиболее близким к нему по смыслу и допустимым законом; при невозможности замены соответствующее отношение регулируется законодательством Российской Федерации.</w:t>
      </w:r>
    </w:p>
    <w:p>
      <w:pPr>
        <w:spacing w:before="240" w:after="120"/>
        <w:ind w:firstLine="0" w:left="0"/>
        <w:jc w:val="left"/>
      </w:pPr>
      <w:r>
        <w:rPr>
          <w:rFonts w:ascii="Times New Roman" w:hAnsi="Times New Roman" w:eastAsia="Times New Roman" w:cs="Times New Roman"/>
          <w:b/>
          <w:sz w:val="24"/>
        </w:rPr>
        <w:t>15. Особенности для Заказчиков-потребителей</w:t>
      </w:r>
    </w:p>
    <w:p>
      <w:pPr>
        <w:spacing w:before="0" w:after="0"/>
        <w:ind w:firstLine="709" w:left="0"/>
      </w:pPr>
      <w:r>
        <w:rPr>
          <w:rFonts w:ascii="Times New Roman" w:hAnsi="Times New Roman" w:eastAsia="Times New Roman" w:cs="Times New Roman"/>
          <w:b w:val="0"/>
          <w:sz w:val="24"/>
        </w:rPr>
        <w:t>15.1. Настоящий раздел применяется к Заказчику-потребителю и имеет приоритет над иными положениями Оферты. К отношениям сторон применяется Закон о защите прав потребителей (п. 1.2 Оферты).</w:t>
      </w:r>
    </w:p>
    <w:p>
      <w:pPr>
        <w:spacing w:before="0" w:after="0"/>
        <w:ind w:firstLine="709" w:left="0"/>
      </w:pPr>
      <w:r>
        <w:rPr>
          <w:rFonts w:ascii="Times New Roman" w:hAnsi="Times New Roman" w:eastAsia="Times New Roman" w:cs="Times New Roman"/>
          <w:b w:val="0"/>
          <w:sz w:val="24"/>
        </w:rPr>
        <w:t>15.2. Договор с Заказчиком-потребителем является публичным (ст. 426 ГК РФ): Исполнитель заключает его с каждым, кто обратится, на одинаковых условиях. Положения п. 3.4 Оферты к Заказчику-потребителю не применяются.</w:t>
      </w:r>
    </w:p>
    <w:p>
      <w:pPr>
        <w:spacing w:before="0" w:after="0"/>
        <w:ind w:firstLine="709" w:left="0"/>
      </w:pPr>
      <w:r>
        <w:rPr>
          <w:rFonts w:ascii="Times New Roman" w:hAnsi="Times New Roman" w:eastAsia="Times New Roman" w:cs="Times New Roman"/>
          <w:b w:val="0"/>
          <w:sz w:val="24"/>
        </w:rPr>
        <w:t>15.3. Заказчик-потребитель вправе отказаться от исполнения Договора в любое время (ст. 32 Закона о защите прав потребителей), направив уведомление на support@tendik.ru. В этом случае Исполнитель возвращает уплаченную сумму за вычетом фактически понесённых расходов. Фактически понесёнными расходами признаются: при оплате одного Периода — стоимость Позиций, списанных из Пула на дату получения уведомления, по стоимости одной Позиции соответствующей Ступени; при годовой оплате — часть фактически уплаченной за год суммы, приходящаяся на начатые Периоды, определяемая по формуле (О ÷ 12) × Н, где О — фактически уплаченная за год сумма, Н — количество начатых Периодов на дату получения уведомления, включая текущий. Указанные величины не суммируются: при годовой оплате стоимость списанных Позиций отдельно не удерживается. Правило пункта 12.2 Оферты об определении удерживаемой величины по стоимости одного Периода без учёта скидки за годовую оплату к Заказчику-потребителю не применяется. Никакие штрафы и удержания за сам факт отказа не применяются. Возврат производится в течение 10 (десяти) календарных дней с даты получения заявления на реквизиты, с которых поступила оплата.</w:t>
      </w:r>
    </w:p>
    <w:p>
      <w:pPr>
        <w:spacing w:before="0" w:after="0"/>
        <w:ind w:firstLine="709" w:left="0"/>
      </w:pPr>
      <w:r>
        <w:rPr>
          <w:rFonts w:ascii="Times New Roman" w:hAnsi="Times New Roman" w:eastAsia="Times New Roman" w:cs="Times New Roman"/>
          <w:b w:val="0"/>
          <w:sz w:val="24"/>
        </w:rPr>
        <w:t>15.3.1. Заказчик-потребитель вправе отказаться от подписки (п. 7.2.2 Оферты) в любой момент в Личном кабинете, без объяснения причин и без каких-либо удержаний; отказ прекращает будущие списания. Списание, совершённое до отказа, возвращается по правилам п. 15.3 Оферты. Списание с реквизитов, от использования которых Заказчик-потребитель отказался, не производится.</w:t>
      </w:r>
    </w:p>
    <w:p>
      <w:pPr>
        <w:spacing w:before="0" w:after="0"/>
        <w:ind w:firstLine="709" w:left="0"/>
      </w:pPr>
      <w:r>
        <w:rPr>
          <w:rFonts w:ascii="Times New Roman" w:hAnsi="Times New Roman" w:eastAsia="Times New Roman" w:cs="Times New Roman"/>
          <w:b w:val="0"/>
          <w:sz w:val="24"/>
        </w:rPr>
        <w:t>15.4. Положение п. 7.5 Оферты об аннулировании неиспользованного остатка Пула не лишает Заказчика-потребителя права, предусмотренного п. 15.3 Оферты. Положения п. 1.4 Оферты об изменении Оферты и тарифов не применяются к Заказчику-потребителю в части уже оплаченного Периода; предмет, цена и срок оказанной ему услуги в одностороннем порядке Исполнителем не изменяются.</w:t>
      </w:r>
    </w:p>
    <w:p>
      <w:pPr>
        <w:spacing w:before="0" w:after="0"/>
        <w:ind w:firstLine="709" w:left="0"/>
      </w:pPr>
      <w:r>
        <w:rPr>
          <w:rFonts w:ascii="Times New Roman" w:hAnsi="Times New Roman" w:eastAsia="Times New Roman" w:cs="Times New Roman"/>
          <w:b w:val="0"/>
          <w:sz w:val="24"/>
        </w:rPr>
        <w:t>15.5. Претензионный порядок для Заказчика-потребителя не является обязательным. Споры рассматриваются судом по выбору Заказчика-потребителя — по месту его жительства или пребывания, по месту нахождения Исполнителя либо по месту заключения или исполнения Договора (пункт 2 статьи 17 Закона о защите прав потребителей); положения п. 13.2 Оферты о договорной подсудности к нему не применяются.</w:t>
      </w:r>
    </w:p>
    <w:p>
      <w:pPr>
        <w:spacing w:before="0" w:after="0"/>
        <w:ind w:firstLine="709" w:left="0"/>
      </w:pPr>
      <w:r>
        <w:rPr>
          <w:rFonts w:ascii="Times New Roman" w:hAnsi="Times New Roman" w:eastAsia="Times New Roman" w:cs="Times New Roman"/>
          <w:b w:val="0"/>
          <w:sz w:val="24"/>
        </w:rPr>
        <w:t>15.6. Ограничения ответственности Исполнителя, установленные разделом 10 Оферты, применяются к Заказчику-потребителю в части, не противоречащей императивным нормам Закона о защите прав потребителей. Требования Заказчика-потребителя при обнаружении недостатков оказанной услуги удовлетворяются в порядке и в сроки, установленные статьями 29 и 31 Закона о защите прав потребителей; за нарушение этих сроков Исполнитель уплачивает неустойку в порядке, предусмотренном статьями 28 и 31 указанного Закона.</w:t>
      </w:r>
    </w:p>
    <w:p>
      <w:pPr>
        <w:spacing w:before="0" w:after="0"/>
        <w:ind w:firstLine="709" w:left="0"/>
      </w:pPr>
      <w:r>
        <w:rPr>
          <w:rFonts w:ascii="Times New Roman" w:hAnsi="Times New Roman" w:eastAsia="Times New Roman" w:cs="Times New Roman"/>
          <w:b w:val="0"/>
          <w:sz w:val="24"/>
        </w:rPr>
        <w:t>15.7. Акт об оказанных услугах Заказчику-потребителю не выставляется; документом, подтверждающим оплату, является кассовый чек. Положения пункта 7.13 Оферты о приёмке услуг к нему не применяются, а услуги считаются оказанными по мере выполнения Просчётов.</w:t>
      </w:r>
    </w:p>
    <w:p>
      <w:pPr>
        <w:spacing w:before="0" w:after="0"/>
        <w:ind w:firstLine="709" w:left="0"/>
      </w:pPr>
      <w:r>
        <w:rPr>
          <w:rFonts w:ascii="Times New Roman" w:hAnsi="Times New Roman" w:eastAsia="Times New Roman" w:cs="Times New Roman"/>
          <w:b w:val="0"/>
          <w:sz w:val="24"/>
        </w:rPr>
        <w:t>15.8. Предоставление доступа к Сервису не обусловлено согласием Заказчика-потребителя на получение рекламных сообщений: такое согласие даётся отдельно и может быть отозвано без последствий для доступа к Сервису. Веб-аналитика на Сайте осуществляется в порядке, установленном разделом 10 Политики обработки персональных данных; возражение против неё не ограничивает доступ к Сервису. Персональные данные, не связанные с исполнением Договора, для его заключения не требуются.</w:t>
      </w:r>
    </w:p>
    <w:p>
      <w:pPr>
        <w:spacing w:before="0" w:after="0"/>
        <w:ind w:firstLine="709" w:left="0"/>
      </w:pPr>
      <w:r>
        <w:rPr>
          <w:rFonts w:ascii="Times New Roman" w:hAnsi="Times New Roman" w:eastAsia="Times New Roman" w:cs="Times New Roman"/>
          <w:b w:val="0"/>
          <w:sz w:val="24"/>
        </w:rPr>
        <w:t>15.9. К Заказчику-потребителю не применяются: п. 10.9 Оферты о возмещении потерь; правило п. 13.1 Оферты о месячном сроке направления претензии о неполном или ненадлежащем объёме оказанных услуг. Прекращение Пробных Позиций и Демо-доступа (п. 8.3 Оферты) оплаченный доступ Заказчика-потребителя не затрагивает и основанием для отказа в заключении с ним Договора не является (п. 15.2 Оферты).</w:t>
      </w:r>
    </w:p>
    <w:p>
      <w:pPr>
        <w:spacing w:before="240" w:after="120"/>
        <w:ind w:firstLine="0" w:left="0"/>
        <w:jc w:val="left"/>
      </w:pPr>
      <w:r>
        <w:rPr>
          <w:rFonts w:ascii="Times New Roman" w:hAnsi="Times New Roman" w:eastAsia="Times New Roman" w:cs="Times New Roman"/>
          <w:b/>
          <w:sz w:val="24"/>
        </w:rPr>
        <w:t>16. Реквизиты Исполнителя</w:t>
      </w:r>
    </w:p>
    <w:p>
      <w:pPr>
        <w:spacing w:before="0" w:after="0"/>
        <w:ind w:firstLine="709" w:left="0"/>
      </w:pPr>
      <w:r>
        <w:rPr>
          <w:rFonts w:ascii="Times New Roman" w:hAnsi="Times New Roman" w:eastAsia="Times New Roman" w:cs="Times New Roman"/>
          <w:b w:val="0"/>
          <w:sz w:val="24"/>
        </w:rPr>
        <w:t>Общество с ограниченной ответственностью «ТЕНДИК» (ООО «ТЕНДИК»)</w:t>
      </w:r>
    </w:p>
    <w:p>
      <w:pPr>
        <w:spacing w:before="0" w:after="0"/>
        <w:ind w:firstLine="709" w:left="0"/>
      </w:pPr>
      <w:r>
        <w:rPr>
          <w:rFonts w:ascii="Times New Roman" w:hAnsi="Times New Roman" w:eastAsia="Times New Roman" w:cs="Times New Roman"/>
          <w:b w:val="0"/>
          <w:sz w:val="24"/>
        </w:rPr>
        <w:t>ОГРН 1267800063630</w:t>
      </w:r>
    </w:p>
    <w:p>
      <w:pPr>
        <w:spacing w:before="0" w:after="0"/>
        <w:ind w:firstLine="709" w:left="0"/>
      </w:pPr>
      <w:r>
        <w:rPr>
          <w:rFonts w:ascii="Times New Roman" w:hAnsi="Times New Roman" w:eastAsia="Times New Roman" w:cs="Times New Roman"/>
          <w:b w:val="0"/>
          <w:sz w:val="24"/>
        </w:rPr>
        <w:t>ИНН 7806637140, КПП 780601001</w:t>
      </w:r>
    </w:p>
    <w:p>
      <w:pPr>
        <w:spacing w:before="0" w:after="0"/>
        <w:ind w:firstLine="709" w:left="0"/>
      </w:pPr>
      <w:r>
        <w:rPr>
          <w:rFonts w:ascii="Times New Roman" w:hAnsi="Times New Roman" w:eastAsia="Times New Roman" w:cs="Times New Roman"/>
          <w:b w:val="0"/>
          <w:sz w:val="24"/>
        </w:rPr>
        <w:t>Адрес: 195027, г. Санкт-Петербург, вн.тер.г. муниципальный округ Большая Охта, ул. Магнитогорская, д. 51, литера А, помещ. 2Н/3Н</w:t>
      </w:r>
    </w:p>
    <w:p>
      <w:pPr>
        <w:spacing w:before="0" w:after="0"/>
        <w:ind w:firstLine="709" w:left="0"/>
      </w:pPr>
      <w:r>
        <w:rPr>
          <w:rFonts w:ascii="Times New Roman" w:hAnsi="Times New Roman" w:eastAsia="Times New Roman" w:cs="Times New Roman"/>
          <w:b w:val="0"/>
          <w:sz w:val="24"/>
        </w:rPr>
        <w:t>Почтовый адрес для направления корреспонденции совпадает с адресом, указанным выше.</w:t>
      </w:r>
    </w:p>
    <w:p>
      <w:pPr>
        <w:spacing w:before="0" w:after="0"/>
        <w:ind w:firstLine="709" w:left="0"/>
      </w:pPr>
      <w:r>
        <w:rPr>
          <w:rFonts w:ascii="Times New Roman" w:hAnsi="Times New Roman" w:eastAsia="Times New Roman" w:cs="Times New Roman"/>
          <w:b w:val="0"/>
          <w:sz w:val="24"/>
        </w:rPr>
        <w:t>Электронная почта: support@tendik.ru</w:t>
      </w:r>
    </w:p>
    <w:p>
      <w:pPr>
        <w:spacing w:before="0" w:after="0"/>
        <w:ind w:firstLine="709" w:left="0"/>
      </w:pPr>
      <w:r>
        <w:rPr>
          <w:rFonts w:ascii="Times New Roman" w:hAnsi="Times New Roman" w:eastAsia="Times New Roman" w:cs="Times New Roman"/>
          <w:b w:val="0"/>
          <w:sz w:val="24"/>
        </w:rPr>
        <w:t>Телефон: +7 993 077-01-68</w:t>
      </w:r>
    </w:p>
    <w:p>
      <w:pPr>
        <w:spacing w:before="0" w:after="0"/>
        <w:ind w:firstLine="709" w:left="0"/>
      </w:pPr>
      <w:r>
        <w:rPr>
          <w:rFonts w:ascii="Times New Roman" w:hAnsi="Times New Roman" w:eastAsia="Times New Roman" w:cs="Times New Roman"/>
          <w:b w:val="0"/>
          <w:sz w:val="24"/>
        </w:rPr>
        <w:t>Сайт: https://tendik.ru</w:t>
      </w:r>
    </w:p>
    <w:p>
      <w:pPr>
        <w:spacing w:before="0" w:after="0"/>
        <w:ind w:firstLine="709" w:left="0"/>
      </w:pPr>
      <w:r>
        <w:rPr>
          <w:rFonts w:ascii="Times New Roman" w:hAnsi="Times New Roman" w:eastAsia="Times New Roman" w:cs="Times New Roman"/>
          <w:b w:val="0"/>
          <w:sz w:val="24"/>
        </w:rPr>
        <w:t>Банковские реквизиты: указываются в счёте.</w:t>
      </w:r>
    </w:p>
    <w:p>
      <w:pPr>
        <w:spacing w:before="0" w:after="0"/>
        <w:ind w:firstLine="709" w:left="0"/>
      </w:pPr>
      <w:r>
        <w:rPr>
          <w:rFonts w:ascii="Times New Roman" w:hAnsi="Times New Roman" w:eastAsia="Times New Roman" w:cs="Times New Roman"/>
          <w:b w:val="0"/>
          <w:sz w:val="24"/>
        </w:rPr>
        <w:t>Генеральный директор Гундырев Максим Алексеевич, действующий на основании типового устава № 21, утверждённого приказом Минэкономразвития России от 01.08.2018 № 411.</w:t>
      </w:r>
    </w:p>
    <w:p>
      <w:pPr>
        <w:spacing w:before="240" w:after="120"/>
        <w:ind w:firstLine="0" w:left="0"/>
        <w:jc w:val="left"/>
      </w:pPr>
      <w:r>
        <w:rPr>
          <w:rFonts w:ascii="Times New Roman" w:hAnsi="Times New Roman" w:eastAsia="Times New Roman" w:cs="Times New Roman"/>
          <w:b/>
          <w:sz w:val="24"/>
        </w:rPr>
        <w:t>Приложение № 1 к Публичной оферте. Тарифы</w:t>
      </w:r>
    </w:p>
    <w:p>
      <w:pPr>
        <w:spacing w:before="0" w:after="0"/>
        <w:ind w:firstLine="709" w:left="0"/>
      </w:pPr>
      <w:r>
        <w:rPr>
          <w:rFonts w:ascii="Times New Roman" w:hAnsi="Times New Roman" w:eastAsia="Times New Roman" w:cs="Times New Roman"/>
          <w:b w:val="0"/>
          <w:sz w:val="24"/>
        </w:rPr>
        <w:t>Настоящее приложение является неотъемлемой частью Оферты и применяется в редакции, действующей на дату оплаты соответствующего Периода. Все суммы указаны в рублях Российской Федерации и НДС не включают (п. 7.11 Оферты).</w:t>
      </w:r>
    </w:p>
    <w:p>
      <w:pPr>
        <w:spacing w:before="0" w:after="0"/>
        <w:ind w:firstLine="709" w:left="0"/>
      </w:pPr>
      <w:r>
        <w:rPr>
          <w:rFonts w:ascii="Times New Roman" w:hAnsi="Times New Roman" w:eastAsia="Times New Roman" w:cs="Times New Roman"/>
          <w:b w:val="0"/>
          <w:sz w:val="24"/>
        </w:rPr>
        <w:t>Ступени доступа: Пул Позиций на Период (30 календарных дней), стоимость одной Позиции, стоимость Периода и стоимость года (12 Периодов, 360 календарных дней, оплата в размере стоимости 10 Периодов).</w:t>
      </w:r>
    </w:p>
    <w:tbl>
      <w:tblPr>
        <w:tblStyle w:val="TableGrid"/>
        <w:tblW w:type="auto" w:w="0"/>
        <w:jc w:val="center"/>
        <w:tblLook w:firstColumn="1" w:firstRow="1" w:lastColumn="0" w:lastRow="0" w:noHBand="0" w:noVBand="1" w:val="04A0"/>
      </w:tblPr>
      <w:tblGrid>
        <w:gridCol w:w="1871"/>
        <w:gridCol w:w="1871"/>
        <w:gridCol w:w="1871"/>
        <w:gridCol w:w="1871"/>
        <w:gridCol w:w="1871"/>
      </w:tblGrid>
      <w:tr>
        <w:tc>
          <w:tcPr>
            <w:tcW w:type="dxa" w:w="1871"/>
          </w:tcPr>
          <w:p>
            <w:pPr>
              <w:spacing w:line="240" w:lineRule="auto" w:after="0"/>
              <w:ind w:firstLine="0"/>
            </w:pPr>
            <w:r>
              <w:rPr>
                <w:rFonts w:ascii="Times New Roman" w:hAnsi="Times New Roman" w:eastAsia="Times New Roman" w:cs="Times New Roman"/>
                <w:b/>
                <w:sz w:val="20"/>
              </w:rPr>
              <w:t>Ступень</w:t>
            </w:r>
          </w:p>
        </w:tc>
        <w:tc>
          <w:tcPr>
            <w:tcW w:type="dxa" w:w="1871"/>
          </w:tcPr>
          <w:p>
            <w:pPr>
              <w:spacing w:line="240" w:lineRule="auto" w:after="0"/>
              <w:ind w:firstLine="0"/>
            </w:pPr>
            <w:r>
              <w:rPr>
                <w:rFonts w:ascii="Times New Roman" w:hAnsi="Times New Roman" w:eastAsia="Times New Roman" w:cs="Times New Roman"/>
                <w:b/>
                <w:sz w:val="20"/>
              </w:rPr>
              <w:t>Пул, Позиций</w:t>
            </w:r>
          </w:p>
        </w:tc>
        <w:tc>
          <w:tcPr>
            <w:tcW w:type="dxa" w:w="1871"/>
          </w:tcPr>
          <w:p>
            <w:pPr>
              <w:spacing w:line="240" w:lineRule="auto" w:after="0"/>
              <w:ind w:firstLine="0"/>
            </w:pPr>
            <w:r>
              <w:rPr>
                <w:rFonts w:ascii="Times New Roman" w:hAnsi="Times New Roman" w:eastAsia="Times New Roman" w:cs="Times New Roman"/>
                <w:b/>
                <w:sz w:val="20"/>
              </w:rPr>
              <w:t>Позиция</w:t>
            </w:r>
          </w:p>
        </w:tc>
        <w:tc>
          <w:tcPr>
            <w:tcW w:type="dxa" w:w="1871"/>
          </w:tcPr>
          <w:p>
            <w:pPr>
              <w:spacing w:line="240" w:lineRule="auto" w:after="0"/>
              <w:ind w:firstLine="0"/>
            </w:pPr>
            <w:r>
              <w:rPr>
                <w:rFonts w:ascii="Times New Roman" w:hAnsi="Times New Roman" w:eastAsia="Times New Roman" w:cs="Times New Roman"/>
                <w:b/>
                <w:sz w:val="20"/>
              </w:rPr>
              <w:t>Период</w:t>
            </w:r>
          </w:p>
        </w:tc>
        <w:tc>
          <w:tcPr>
            <w:tcW w:type="dxa" w:w="1871"/>
          </w:tcPr>
          <w:p>
            <w:pPr>
              <w:spacing w:line="240" w:lineRule="auto" w:after="0"/>
              <w:ind w:firstLine="0"/>
            </w:pPr>
            <w:r>
              <w:rPr>
                <w:rFonts w:ascii="Times New Roman" w:hAnsi="Times New Roman" w:eastAsia="Times New Roman" w:cs="Times New Roman"/>
                <w:b/>
                <w:sz w:val="20"/>
              </w:rPr>
              <w:t>Год</w:t>
            </w:r>
          </w:p>
        </w:tc>
      </w:tr>
      <w:tr>
        <w:tc>
          <w:tcPr>
            <w:tcW w:type="dxa" w:w="1871"/>
          </w:tcPr>
          <w:p>
            <w:pPr>
              <w:spacing w:line="240" w:lineRule="auto" w:after="0"/>
              <w:ind w:firstLine="0"/>
            </w:pPr>
            <w:r>
              <w:rPr>
                <w:rFonts w:ascii="Times New Roman" w:hAnsi="Times New Roman" w:eastAsia="Times New Roman" w:cs="Times New Roman"/>
                <w:b w:val="0"/>
                <w:sz w:val="20"/>
              </w:rPr>
              <w:t>Старт</w:t>
            </w:r>
          </w:p>
        </w:tc>
        <w:tc>
          <w:tcPr>
            <w:tcW w:type="dxa" w:w="1871"/>
          </w:tcPr>
          <w:p>
            <w:pPr>
              <w:spacing w:line="240" w:lineRule="auto" w:after="0"/>
              <w:ind w:firstLine="0"/>
            </w:pPr>
            <w:r>
              <w:rPr>
                <w:rFonts w:ascii="Times New Roman" w:hAnsi="Times New Roman" w:eastAsia="Times New Roman" w:cs="Times New Roman"/>
                <w:b w:val="0"/>
                <w:sz w:val="20"/>
              </w:rPr>
              <w:t>50</w:t>
            </w:r>
          </w:p>
        </w:tc>
        <w:tc>
          <w:tcPr>
            <w:tcW w:type="dxa" w:w="1871"/>
          </w:tcPr>
          <w:p>
            <w:pPr>
              <w:spacing w:line="240" w:lineRule="auto" w:after="0"/>
              <w:ind w:firstLine="0"/>
            </w:pPr>
            <w:r>
              <w:rPr>
                <w:rFonts w:ascii="Times New Roman" w:hAnsi="Times New Roman" w:eastAsia="Times New Roman" w:cs="Times New Roman"/>
                <w:b w:val="0"/>
                <w:sz w:val="20"/>
              </w:rPr>
              <w:t>100 руб.</w:t>
            </w:r>
          </w:p>
        </w:tc>
        <w:tc>
          <w:tcPr>
            <w:tcW w:type="dxa" w:w="1871"/>
          </w:tcPr>
          <w:p>
            <w:pPr>
              <w:spacing w:line="240" w:lineRule="auto" w:after="0"/>
              <w:ind w:firstLine="0"/>
            </w:pPr>
            <w:r>
              <w:rPr>
                <w:rFonts w:ascii="Times New Roman" w:hAnsi="Times New Roman" w:eastAsia="Times New Roman" w:cs="Times New Roman"/>
                <w:b w:val="0"/>
                <w:sz w:val="20"/>
              </w:rPr>
              <w:t>5 000 руб.</w:t>
            </w:r>
          </w:p>
        </w:tc>
        <w:tc>
          <w:tcPr>
            <w:tcW w:type="dxa" w:w="1871"/>
          </w:tcPr>
          <w:p>
            <w:pPr>
              <w:spacing w:line="240" w:lineRule="auto" w:after="0"/>
              <w:ind w:firstLine="0"/>
            </w:pPr>
            <w:r>
              <w:rPr>
                <w:rFonts w:ascii="Times New Roman" w:hAnsi="Times New Roman" w:eastAsia="Times New Roman" w:cs="Times New Roman"/>
                <w:b w:val="0"/>
                <w:sz w:val="20"/>
              </w:rPr>
              <w:t>50 000 руб.</w:t>
            </w:r>
          </w:p>
        </w:tc>
      </w:tr>
      <w:tr>
        <w:tc>
          <w:tcPr>
            <w:tcW w:type="dxa" w:w="1871"/>
          </w:tcPr>
          <w:p>
            <w:pPr>
              <w:spacing w:line="240" w:lineRule="auto" w:after="0"/>
              <w:ind w:firstLine="0"/>
            </w:pPr>
            <w:r>
              <w:rPr>
                <w:rFonts w:ascii="Times New Roman" w:hAnsi="Times New Roman" w:eastAsia="Times New Roman" w:cs="Times New Roman"/>
                <w:b w:val="0"/>
                <w:sz w:val="20"/>
              </w:rPr>
              <w:t>Стандарт</w:t>
            </w:r>
          </w:p>
        </w:tc>
        <w:tc>
          <w:tcPr>
            <w:tcW w:type="dxa" w:w="1871"/>
          </w:tcPr>
          <w:p>
            <w:pPr>
              <w:spacing w:line="240" w:lineRule="auto" w:after="0"/>
              <w:ind w:firstLine="0"/>
            </w:pPr>
            <w:r>
              <w:rPr>
                <w:rFonts w:ascii="Times New Roman" w:hAnsi="Times New Roman" w:eastAsia="Times New Roman" w:cs="Times New Roman"/>
                <w:b w:val="0"/>
                <w:sz w:val="20"/>
              </w:rPr>
              <w:t>200</w:t>
            </w:r>
          </w:p>
        </w:tc>
        <w:tc>
          <w:tcPr>
            <w:tcW w:type="dxa" w:w="1871"/>
          </w:tcPr>
          <w:p>
            <w:pPr>
              <w:spacing w:line="240" w:lineRule="auto" w:after="0"/>
              <w:ind w:firstLine="0"/>
            </w:pPr>
            <w:r>
              <w:rPr>
                <w:rFonts w:ascii="Times New Roman" w:hAnsi="Times New Roman" w:eastAsia="Times New Roman" w:cs="Times New Roman"/>
                <w:b w:val="0"/>
                <w:sz w:val="20"/>
              </w:rPr>
              <w:t>96 руб.</w:t>
            </w:r>
          </w:p>
        </w:tc>
        <w:tc>
          <w:tcPr>
            <w:tcW w:type="dxa" w:w="1871"/>
          </w:tcPr>
          <w:p>
            <w:pPr>
              <w:spacing w:line="240" w:lineRule="auto" w:after="0"/>
              <w:ind w:firstLine="0"/>
            </w:pPr>
            <w:r>
              <w:rPr>
                <w:rFonts w:ascii="Times New Roman" w:hAnsi="Times New Roman" w:eastAsia="Times New Roman" w:cs="Times New Roman"/>
                <w:b w:val="0"/>
                <w:sz w:val="20"/>
              </w:rPr>
              <w:t>19 200 руб.</w:t>
            </w:r>
          </w:p>
        </w:tc>
        <w:tc>
          <w:tcPr>
            <w:tcW w:type="dxa" w:w="1871"/>
          </w:tcPr>
          <w:p>
            <w:pPr>
              <w:spacing w:line="240" w:lineRule="auto" w:after="0"/>
              <w:ind w:firstLine="0"/>
            </w:pPr>
            <w:r>
              <w:rPr>
                <w:rFonts w:ascii="Times New Roman" w:hAnsi="Times New Roman" w:eastAsia="Times New Roman" w:cs="Times New Roman"/>
                <w:b w:val="0"/>
                <w:sz w:val="20"/>
              </w:rPr>
              <w:t>192 000 руб.</w:t>
            </w:r>
          </w:p>
        </w:tc>
      </w:tr>
      <w:tr>
        <w:tc>
          <w:tcPr>
            <w:tcW w:type="dxa" w:w="1871"/>
          </w:tcPr>
          <w:p>
            <w:pPr>
              <w:spacing w:line="240" w:lineRule="auto" w:after="0"/>
              <w:ind w:firstLine="0"/>
            </w:pPr>
            <w:r>
              <w:rPr>
                <w:rFonts w:ascii="Times New Roman" w:hAnsi="Times New Roman" w:eastAsia="Times New Roman" w:cs="Times New Roman"/>
                <w:b w:val="0"/>
                <w:sz w:val="20"/>
              </w:rPr>
              <w:t>Про</w:t>
            </w:r>
          </w:p>
        </w:tc>
        <w:tc>
          <w:tcPr>
            <w:tcW w:type="dxa" w:w="1871"/>
          </w:tcPr>
          <w:p>
            <w:pPr>
              <w:spacing w:line="240" w:lineRule="auto" w:after="0"/>
              <w:ind w:firstLine="0"/>
            </w:pPr>
            <w:r>
              <w:rPr>
                <w:rFonts w:ascii="Times New Roman" w:hAnsi="Times New Roman" w:eastAsia="Times New Roman" w:cs="Times New Roman"/>
                <w:b w:val="0"/>
                <w:sz w:val="20"/>
              </w:rPr>
              <w:t>550</w:t>
            </w:r>
          </w:p>
        </w:tc>
        <w:tc>
          <w:tcPr>
            <w:tcW w:type="dxa" w:w="1871"/>
          </w:tcPr>
          <w:p>
            <w:pPr>
              <w:spacing w:line="240" w:lineRule="auto" w:after="0"/>
              <w:ind w:firstLine="0"/>
            </w:pPr>
            <w:r>
              <w:rPr>
                <w:rFonts w:ascii="Times New Roman" w:hAnsi="Times New Roman" w:eastAsia="Times New Roman" w:cs="Times New Roman"/>
                <w:b w:val="0"/>
                <w:sz w:val="20"/>
              </w:rPr>
              <w:t>95 руб.</w:t>
            </w:r>
          </w:p>
        </w:tc>
        <w:tc>
          <w:tcPr>
            <w:tcW w:type="dxa" w:w="1871"/>
          </w:tcPr>
          <w:p>
            <w:pPr>
              <w:spacing w:line="240" w:lineRule="auto" w:after="0"/>
              <w:ind w:firstLine="0"/>
            </w:pPr>
            <w:r>
              <w:rPr>
                <w:rFonts w:ascii="Times New Roman" w:hAnsi="Times New Roman" w:eastAsia="Times New Roman" w:cs="Times New Roman"/>
                <w:b w:val="0"/>
                <w:sz w:val="20"/>
              </w:rPr>
              <w:t>52 250 руб.</w:t>
            </w:r>
          </w:p>
        </w:tc>
        <w:tc>
          <w:tcPr>
            <w:tcW w:type="dxa" w:w="1871"/>
          </w:tcPr>
          <w:p>
            <w:pPr>
              <w:spacing w:line="240" w:lineRule="auto" w:after="0"/>
              <w:ind w:firstLine="0"/>
            </w:pPr>
            <w:r>
              <w:rPr>
                <w:rFonts w:ascii="Times New Roman" w:hAnsi="Times New Roman" w:eastAsia="Times New Roman" w:cs="Times New Roman"/>
                <w:b w:val="0"/>
                <w:sz w:val="20"/>
              </w:rPr>
              <w:t>522 500 руб.</w:t>
            </w:r>
          </w:p>
        </w:tc>
      </w:tr>
      <w:tr>
        <w:tc>
          <w:tcPr>
            <w:tcW w:type="dxa" w:w="1871"/>
          </w:tcPr>
          <w:p>
            <w:pPr>
              <w:spacing w:line="240" w:lineRule="auto" w:after="0"/>
              <w:ind w:firstLine="0"/>
            </w:pPr>
            <w:r>
              <w:rPr>
                <w:rFonts w:ascii="Times New Roman" w:hAnsi="Times New Roman" w:eastAsia="Times New Roman" w:cs="Times New Roman"/>
                <w:b w:val="0"/>
                <w:sz w:val="20"/>
              </w:rPr>
              <w:t>Бизнес</w:t>
            </w:r>
          </w:p>
        </w:tc>
        <w:tc>
          <w:tcPr>
            <w:tcW w:type="dxa" w:w="1871"/>
          </w:tcPr>
          <w:p>
            <w:pPr>
              <w:spacing w:line="240" w:lineRule="auto" w:after="0"/>
              <w:ind w:firstLine="0"/>
            </w:pPr>
            <w:r>
              <w:rPr>
                <w:rFonts w:ascii="Times New Roman" w:hAnsi="Times New Roman" w:eastAsia="Times New Roman" w:cs="Times New Roman"/>
                <w:b w:val="0"/>
                <w:sz w:val="20"/>
              </w:rPr>
              <w:t>2 750</w:t>
            </w:r>
          </w:p>
        </w:tc>
        <w:tc>
          <w:tcPr>
            <w:tcW w:type="dxa" w:w="1871"/>
          </w:tcPr>
          <w:p>
            <w:pPr>
              <w:spacing w:line="240" w:lineRule="auto" w:after="0"/>
              <w:ind w:firstLine="0"/>
            </w:pPr>
            <w:r>
              <w:rPr>
                <w:rFonts w:ascii="Times New Roman" w:hAnsi="Times New Roman" w:eastAsia="Times New Roman" w:cs="Times New Roman"/>
                <w:b w:val="0"/>
                <w:sz w:val="20"/>
              </w:rPr>
              <w:t>90 руб.</w:t>
            </w:r>
          </w:p>
        </w:tc>
        <w:tc>
          <w:tcPr>
            <w:tcW w:type="dxa" w:w="1871"/>
          </w:tcPr>
          <w:p>
            <w:pPr>
              <w:spacing w:line="240" w:lineRule="auto" w:after="0"/>
              <w:ind w:firstLine="0"/>
            </w:pPr>
            <w:r>
              <w:rPr>
                <w:rFonts w:ascii="Times New Roman" w:hAnsi="Times New Roman" w:eastAsia="Times New Roman" w:cs="Times New Roman"/>
                <w:b w:val="0"/>
                <w:sz w:val="20"/>
              </w:rPr>
              <w:t>247 500 руб.</w:t>
            </w:r>
          </w:p>
        </w:tc>
        <w:tc>
          <w:tcPr>
            <w:tcW w:type="dxa" w:w="1871"/>
          </w:tcPr>
          <w:p>
            <w:pPr>
              <w:spacing w:line="240" w:lineRule="auto" w:after="0"/>
              <w:ind w:firstLine="0"/>
            </w:pPr>
            <w:r>
              <w:rPr>
                <w:rFonts w:ascii="Times New Roman" w:hAnsi="Times New Roman" w:eastAsia="Times New Roman" w:cs="Times New Roman"/>
                <w:b w:val="0"/>
                <w:sz w:val="20"/>
              </w:rPr>
              <w:t>2 475 000 руб.</w:t>
            </w:r>
          </w:p>
        </w:tc>
      </w:tr>
      <w:tr>
        <w:tc>
          <w:tcPr>
            <w:tcW w:type="dxa" w:w="1871"/>
          </w:tcPr>
          <w:p>
            <w:pPr>
              <w:spacing w:line="240" w:lineRule="auto" w:after="0"/>
              <w:ind w:firstLine="0"/>
            </w:pPr>
            <w:r>
              <w:rPr>
                <w:rFonts w:ascii="Times New Roman" w:hAnsi="Times New Roman" w:eastAsia="Times New Roman" w:cs="Times New Roman"/>
                <w:b w:val="0"/>
                <w:sz w:val="20"/>
              </w:rPr>
              <w:t>Энтерпрайз</w:t>
            </w:r>
          </w:p>
        </w:tc>
        <w:tc>
          <w:tcPr>
            <w:tcW w:type="dxa" w:w="1871"/>
          </w:tcPr>
          <w:p>
            <w:pPr>
              <w:spacing w:line="240" w:lineRule="auto" w:after="0"/>
              <w:ind w:firstLine="0"/>
            </w:pPr>
            <w:r>
              <w:rPr>
                <w:rFonts w:ascii="Times New Roman" w:hAnsi="Times New Roman" w:eastAsia="Times New Roman" w:cs="Times New Roman"/>
                <w:b w:val="0"/>
                <w:sz w:val="20"/>
              </w:rPr>
              <w:t>5 500</w:t>
            </w:r>
          </w:p>
        </w:tc>
        <w:tc>
          <w:tcPr>
            <w:tcW w:type="dxa" w:w="1871"/>
          </w:tcPr>
          <w:p>
            <w:pPr>
              <w:spacing w:line="240" w:lineRule="auto" w:after="0"/>
              <w:ind w:firstLine="0"/>
            </w:pPr>
            <w:r>
              <w:rPr>
                <w:rFonts w:ascii="Times New Roman" w:hAnsi="Times New Roman" w:eastAsia="Times New Roman" w:cs="Times New Roman"/>
                <w:b w:val="0"/>
                <w:sz w:val="20"/>
              </w:rPr>
              <w:t>85 руб.</w:t>
            </w:r>
          </w:p>
        </w:tc>
        <w:tc>
          <w:tcPr>
            <w:tcW w:type="dxa" w:w="1871"/>
          </w:tcPr>
          <w:p>
            <w:pPr>
              <w:spacing w:line="240" w:lineRule="auto" w:after="0"/>
              <w:ind w:firstLine="0"/>
            </w:pPr>
            <w:r>
              <w:rPr>
                <w:rFonts w:ascii="Times New Roman" w:hAnsi="Times New Roman" w:eastAsia="Times New Roman" w:cs="Times New Roman"/>
                <w:b w:val="0"/>
                <w:sz w:val="20"/>
              </w:rPr>
              <w:t>467 500 руб.</w:t>
            </w:r>
          </w:p>
        </w:tc>
        <w:tc>
          <w:tcPr>
            <w:tcW w:type="dxa" w:w="1871"/>
          </w:tcPr>
          <w:p>
            <w:pPr>
              <w:spacing w:line="240" w:lineRule="auto" w:after="0"/>
              <w:ind w:firstLine="0"/>
            </w:pPr>
            <w:r>
              <w:rPr>
                <w:rFonts w:ascii="Times New Roman" w:hAnsi="Times New Roman" w:eastAsia="Times New Roman" w:cs="Times New Roman"/>
                <w:b w:val="0"/>
                <w:sz w:val="20"/>
              </w:rPr>
              <w:t>4 675 000 руб.</w:t>
            </w:r>
          </w:p>
        </w:tc>
      </w:tr>
      <w:tr>
        <w:tc>
          <w:tcPr>
            <w:tcW w:type="dxa" w:w="1871"/>
          </w:tcPr>
          <w:p>
            <w:pPr>
              <w:spacing w:line="240" w:lineRule="auto" w:after="0"/>
              <w:ind w:firstLine="0"/>
            </w:pPr>
            <w:r>
              <w:rPr>
                <w:rFonts w:ascii="Times New Roman" w:hAnsi="Times New Roman" w:eastAsia="Times New Roman" w:cs="Times New Roman"/>
                <w:b w:val="0"/>
                <w:sz w:val="20"/>
              </w:rPr>
              <w:t>Максимум</w:t>
            </w:r>
          </w:p>
        </w:tc>
        <w:tc>
          <w:tcPr>
            <w:tcW w:type="dxa" w:w="1871"/>
          </w:tcPr>
          <w:p>
            <w:pPr>
              <w:spacing w:line="240" w:lineRule="auto" w:after="0"/>
              <w:ind w:firstLine="0"/>
            </w:pPr>
            <w:r>
              <w:rPr>
                <w:rFonts w:ascii="Times New Roman" w:hAnsi="Times New Roman" w:eastAsia="Times New Roman" w:cs="Times New Roman"/>
                <w:b w:val="0"/>
                <w:sz w:val="20"/>
              </w:rPr>
              <w:t>12 500</w:t>
            </w:r>
          </w:p>
        </w:tc>
        <w:tc>
          <w:tcPr>
            <w:tcW w:type="dxa" w:w="1871"/>
          </w:tcPr>
          <w:p>
            <w:pPr>
              <w:spacing w:line="240" w:lineRule="auto" w:after="0"/>
              <w:ind w:firstLine="0"/>
            </w:pPr>
            <w:r>
              <w:rPr>
                <w:rFonts w:ascii="Times New Roman" w:hAnsi="Times New Roman" w:eastAsia="Times New Roman" w:cs="Times New Roman"/>
                <w:b w:val="0"/>
                <w:sz w:val="20"/>
              </w:rPr>
              <w:t>80 руб.</w:t>
            </w:r>
          </w:p>
        </w:tc>
        <w:tc>
          <w:tcPr>
            <w:tcW w:type="dxa" w:w="1871"/>
          </w:tcPr>
          <w:p>
            <w:pPr>
              <w:spacing w:line="240" w:lineRule="auto" w:after="0"/>
              <w:ind w:firstLine="0"/>
            </w:pPr>
            <w:r>
              <w:rPr>
                <w:rFonts w:ascii="Times New Roman" w:hAnsi="Times New Roman" w:eastAsia="Times New Roman" w:cs="Times New Roman"/>
                <w:b w:val="0"/>
                <w:sz w:val="20"/>
              </w:rPr>
              <w:t>1 000 000 руб.</w:t>
            </w:r>
          </w:p>
        </w:tc>
        <w:tc>
          <w:tcPr>
            <w:tcW w:type="dxa" w:w="1871"/>
          </w:tcPr>
          <w:p>
            <w:pPr>
              <w:spacing w:line="240" w:lineRule="auto" w:after="0"/>
              <w:ind w:firstLine="0"/>
            </w:pPr>
            <w:r>
              <w:rPr>
                <w:rFonts w:ascii="Times New Roman" w:hAnsi="Times New Roman" w:eastAsia="Times New Roman" w:cs="Times New Roman"/>
                <w:b w:val="0"/>
                <w:sz w:val="20"/>
              </w:rPr>
              <w:t>10 000 000 руб.</w:t>
            </w:r>
          </w:p>
        </w:tc>
      </w:tr>
    </w:tbl>
    <w:p/>
    <w:p>
      <w:pPr>
        <w:spacing w:before="0" w:after="0"/>
        <w:ind w:firstLine="709" w:left="0"/>
      </w:pPr>
      <w:r>
        <w:rPr>
          <w:rFonts w:ascii="Times New Roman" w:hAnsi="Times New Roman" w:eastAsia="Times New Roman" w:cs="Times New Roman"/>
          <w:b w:val="0"/>
          <w:sz w:val="24"/>
        </w:rPr>
        <w:t>Количественные ограничения Ступеней: потолок числа строк Собственного прайса (п. 5.10 Оферты) и число Сайтов поставщика, предоставляемых без дополнительной платы при годовой оплате (п. 6.4 Оферты).</w:t>
      </w:r>
    </w:p>
    <w:tbl>
      <w:tblPr>
        <w:tblStyle w:val="TableGrid"/>
        <w:tblW w:type="auto" w:w="0"/>
        <w:jc w:val="center"/>
        <w:tblLook w:firstColumn="1" w:firstRow="1" w:lastColumn="0" w:lastRow="0" w:noHBand="0" w:noVBand="1" w:val="04A0"/>
      </w:tblPr>
      <w:tblGrid>
        <w:gridCol w:w="3118"/>
        <w:gridCol w:w="3118"/>
        <w:gridCol w:w="3118"/>
      </w:tblGrid>
      <w:tr>
        <w:tc>
          <w:tcPr>
            <w:tcW w:type="dxa" w:w="3118"/>
          </w:tcPr>
          <w:p>
            <w:pPr>
              <w:spacing w:line="240" w:lineRule="auto" w:after="0"/>
              <w:ind w:firstLine="0"/>
            </w:pPr>
            <w:r>
              <w:rPr>
                <w:rFonts w:ascii="Times New Roman" w:hAnsi="Times New Roman" w:eastAsia="Times New Roman" w:cs="Times New Roman"/>
                <w:b/>
                <w:sz w:val="20"/>
              </w:rPr>
              <w:t>Ступень</w:t>
            </w:r>
          </w:p>
        </w:tc>
        <w:tc>
          <w:tcPr>
            <w:tcW w:type="dxa" w:w="3118"/>
          </w:tcPr>
          <w:p>
            <w:pPr>
              <w:spacing w:line="240" w:lineRule="auto" w:after="0"/>
              <w:ind w:firstLine="0"/>
            </w:pPr>
            <w:r>
              <w:rPr>
                <w:rFonts w:ascii="Times New Roman" w:hAnsi="Times New Roman" w:eastAsia="Times New Roman" w:cs="Times New Roman"/>
                <w:b/>
                <w:sz w:val="20"/>
              </w:rPr>
              <w:t>Строк прайса</w:t>
            </w:r>
          </w:p>
        </w:tc>
        <w:tc>
          <w:tcPr>
            <w:tcW w:type="dxa" w:w="3118"/>
          </w:tcPr>
          <w:p>
            <w:pPr>
              <w:spacing w:line="240" w:lineRule="auto" w:after="0"/>
              <w:ind w:firstLine="0"/>
            </w:pPr>
            <w:r>
              <w:rPr>
                <w:rFonts w:ascii="Times New Roman" w:hAnsi="Times New Roman" w:eastAsia="Times New Roman" w:cs="Times New Roman"/>
                <w:b/>
                <w:sz w:val="20"/>
              </w:rPr>
              <w:t>Сайтов в год</w:t>
            </w:r>
          </w:p>
        </w:tc>
      </w:tr>
      <w:tr>
        <w:tc>
          <w:tcPr>
            <w:tcW w:type="dxa" w:w="3118"/>
          </w:tcPr>
          <w:p>
            <w:pPr>
              <w:spacing w:line="240" w:lineRule="auto" w:after="0"/>
              <w:ind w:firstLine="0"/>
            </w:pPr>
            <w:r>
              <w:rPr>
                <w:rFonts w:ascii="Times New Roman" w:hAnsi="Times New Roman" w:eastAsia="Times New Roman" w:cs="Times New Roman"/>
                <w:b w:val="0"/>
                <w:sz w:val="20"/>
              </w:rPr>
              <w:t>Старт</w:t>
            </w:r>
          </w:p>
        </w:tc>
        <w:tc>
          <w:tcPr>
            <w:tcW w:type="dxa" w:w="3118"/>
          </w:tcPr>
          <w:p>
            <w:pPr>
              <w:spacing w:line="240" w:lineRule="auto" w:after="0"/>
              <w:ind w:firstLine="0"/>
            </w:pPr>
            <w:r>
              <w:rPr>
                <w:rFonts w:ascii="Times New Roman" w:hAnsi="Times New Roman" w:eastAsia="Times New Roman" w:cs="Times New Roman"/>
                <w:b w:val="0"/>
                <w:sz w:val="20"/>
              </w:rPr>
              <w:t>1 000</w:t>
            </w:r>
          </w:p>
        </w:tc>
        <w:tc>
          <w:tcPr>
            <w:tcW w:type="dxa" w:w="3118"/>
          </w:tcPr>
          <w:p>
            <w:pPr>
              <w:spacing w:line="240" w:lineRule="auto" w:after="0"/>
              <w:ind w:firstLine="0"/>
            </w:pPr>
            <w:r>
              <w:rPr>
                <w:rFonts w:ascii="Times New Roman" w:hAnsi="Times New Roman" w:eastAsia="Times New Roman" w:cs="Times New Roman"/>
                <w:b w:val="0"/>
                <w:sz w:val="20"/>
              </w:rPr>
              <w:t>2</w:t>
            </w:r>
          </w:p>
        </w:tc>
      </w:tr>
      <w:tr>
        <w:tc>
          <w:tcPr>
            <w:tcW w:type="dxa" w:w="3118"/>
          </w:tcPr>
          <w:p>
            <w:pPr>
              <w:spacing w:line="240" w:lineRule="auto" w:after="0"/>
              <w:ind w:firstLine="0"/>
            </w:pPr>
            <w:r>
              <w:rPr>
                <w:rFonts w:ascii="Times New Roman" w:hAnsi="Times New Roman" w:eastAsia="Times New Roman" w:cs="Times New Roman"/>
                <w:b w:val="0"/>
                <w:sz w:val="20"/>
              </w:rPr>
              <w:t>Стандарт</w:t>
            </w:r>
          </w:p>
        </w:tc>
        <w:tc>
          <w:tcPr>
            <w:tcW w:type="dxa" w:w="3118"/>
          </w:tcPr>
          <w:p>
            <w:pPr>
              <w:spacing w:line="240" w:lineRule="auto" w:after="0"/>
              <w:ind w:firstLine="0"/>
            </w:pPr>
            <w:r>
              <w:rPr>
                <w:rFonts w:ascii="Times New Roman" w:hAnsi="Times New Roman" w:eastAsia="Times New Roman" w:cs="Times New Roman"/>
                <w:b w:val="0"/>
                <w:sz w:val="20"/>
              </w:rPr>
              <w:t>1 000</w:t>
            </w:r>
          </w:p>
        </w:tc>
        <w:tc>
          <w:tcPr>
            <w:tcW w:type="dxa" w:w="3118"/>
          </w:tcPr>
          <w:p>
            <w:pPr>
              <w:spacing w:line="240" w:lineRule="auto" w:after="0"/>
              <w:ind w:firstLine="0"/>
            </w:pPr>
            <w:r>
              <w:rPr>
                <w:rFonts w:ascii="Times New Roman" w:hAnsi="Times New Roman" w:eastAsia="Times New Roman" w:cs="Times New Roman"/>
                <w:b w:val="0"/>
                <w:sz w:val="20"/>
              </w:rPr>
              <w:t>2</w:t>
            </w:r>
          </w:p>
        </w:tc>
      </w:tr>
      <w:tr>
        <w:tc>
          <w:tcPr>
            <w:tcW w:type="dxa" w:w="3118"/>
          </w:tcPr>
          <w:p>
            <w:pPr>
              <w:spacing w:line="240" w:lineRule="auto" w:after="0"/>
              <w:ind w:firstLine="0"/>
            </w:pPr>
            <w:r>
              <w:rPr>
                <w:rFonts w:ascii="Times New Roman" w:hAnsi="Times New Roman" w:eastAsia="Times New Roman" w:cs="Times New Roman"/>
                <w:b w:val="0"/>
                <w:sz w:val="20"/>
              </w:rPr>
              <w:t>Про</w:t>
            </w:r>
          </w:p>
        </w:tc>
        <w:tc>
          <w:tcPr>
            <w:tcW w:type="dxa" w:w="3118"/>
          </w:tcPr>
          <w:p>
            <w:pPr>
              <w:spacing w:line="240" w:lineRule="auto" w:after="0"/>
              <w:ind w:firstLine="0"/>
            </w:pPr>
            <w:r>
              <w:rPr>
                <w:rFonts w:ascii="Times New Roman" w:hAnsi="Times New Roman" w:eastAsia="Times New Roman" w:cs="Times New Roman"/>
                <w:b w:val="0"/>
                <w:sz w:val="20"/>
              </w:rPr>
              <w:t>5 000</w:t>
            </w:r>
          </w:p>
        </w:tc>
        <w:tc>
          <w:tcPr>
            <w:tcW w:type="dxa" w:w="3118"/>
          </w:tcPr>
          <w:p>
            <w:pPr>
              <w:spacing w:line="240" w:lineRule="auto" w:after="0"/>
              <w:ind w:firstLine="0"/>
            </w:pPr>
            <w:r>
              <w:rPr>
                <w:rFonts w:ascii="Times New Roman" w:hAnsi="Times New Roman" w:eastAsia="Times New Roman" w:cs="Times New Roman"/>
                <w:b w:val="0"/>
                <w:sz w:val="20"/>
              </w:rPr>
              <w:t>2</w:t>
            </w:r>
          </w:p>
        </w:tc>
      </w:tr>
      <w:tr>
        <w:tc>
          <w:tcPr>
            <w:tcW w:type="dxa" w:w="3118"/>
          </w:tcPr>
          <w:p>
            <w:pPr>
              <w:spacing w:line="240" w:lineRule="auto" w:after="0"/>
              <w:ind w:firstLine="0"/>
            </w:pPr>
            <w:r>
              <w:rPr>
                <w:rFonts w:ascii="Times New Roman" w:hAnsi="Times New Roman" w:eastAsia="Times New Roman" w:cs="Times New Roman"/>
                <w:b w:val="0"/>
                <w:sz w:val="20"/>
              </w:rPr>
              <w:t>Бизнес</w:t>
            </w:r>
          </w:p>
        </w:tc>
        <w:tc>
          <w:tcPr>
            <w:tcW w:type="dxa" w:w="3118"/>
          </w:tcPr>
          <w:p>
            <w:pPr>
              <w:spacing w:line="240" w:lineRule="auto" w:after="0"/>
              <w:ind w:firstLine="0"/>
            </w:pPr>
            <w:r>
              <w:rPr>
                <w:rFonts w:ascii="Times New Roman" w:hAnsi="Times New Roman" w:eastAsia="Times New Roman" w:cs="Times New Roman"/>
                <w:b w:val="0"/>
                <w:sz w:val="20"/>
              </w:rPr>
              <w:t>20 000</w:t>
            </w:r>
          </w:p>
        </w:tc>
        <w:tc>
          <w:tcPr>
            <w:tcW w:type="dxa" w:w="3118"/>
          </w:tcPr>
          <w:p>
            <w:pPr>
              <w:spacing w:line="240" w:lineRule="auto" w:after="0"/>
              <w:ind w:firstLine="0"/>
            </w:pPr>
            <w:r>
              <w:rPr>
                <w:rFonts w:ascii="Times New Roman" w:hAnsi="Times New Roman" w:eastAsia="Times New Roman" w:cs="Times New Roman"/>
                <w:b w:val="0"/>
                <w:sz w:val="20"/>
              </w:rPr>
              <w:t>2</w:t>
            </w:r>
          </w:p>
        </w:tc>
      </w:tr>
      <w:tr>
        <w:tc>
          <w:tcPr>
            <w:tcW w:type="dxa" w:w="3118"/>
          </w:tcPr>
          <w:p>
            <w:pPr>
              <w:spacing w:line="240" w:lineRule="auto" w:after="0"/>
              <w:ind w:firstLine="0"/>
            </w:pPr>
            <w:r>
              <w:rPr>
                <w:rFonts w:ascii="Times New Roman" w:hAnsi="Times New Roman" w:eastAsia="Times New Roman" w:cs="Times New Roman"/>
                <w:b w:val="0"/>
                <w:sz w:val="20"/>
              </w:rPr>
              <w:t>Энтерпрайз</w:t>
            </w:r>
          </w:p>
        </w:tc>
        <w:tc>
          <w:tcPr>
            <w:tcW w:type="dxa" w:w="3118"/>
          </w:tcPr>
          <w:p>
            <w:pPr>
              <w:spacing w:line="240" w:lineRule="auto" w:after="0"/>
              <w:ind w:firstLine="0"/>
            </w:pPr>
            <w:r>
              <w:rPr>
                <w:rFonts w:ascii="Times New Roman" w:hAnsi="Times New Roman" w:eastAsia="Times New Roman" w:cs="Times New Roman"/>
                <w:b w:val="0"/>
                <w:sz w:val="20"/>
              </w:rPr>
              <w:t>100 000</w:t>
            </w:r>
          </w:p>
        </w:tc>
        <w:tc>
          <w:tcPr>
            <w:tcW w:type="dxa" w:w="3118"/>
          </w:tcPr>
          <w:p>
            <w:pPr>
              <w:spacing w:line="240" w:lineRule="auto" w:after="0"/>
              <w:ind w:firstLine="0"/>
            </w:pPr>
            <w:r>
              <w:rPr>
                <w:rFonts w:ascii="Times New Roman" w:hAnsi="Times New Roman" w:eastAsia="Times New Roman" w:cs="Times New Roman"/>
                <w:b w:val="0"/>
                <w:sz w:val="20"/>
              </w:rPr>
              <w:t>2</w:t>
            </w:r>
          </w:p>
        </w:tc>
      </w:tr>
      <w:tr>
        <w:tc>
          <w:tcPr>
            <w:tcW w:type="dxa" w:w="3118"/>
          </w:tcPr>
          <w:p>
            <w:pPr>
              <w:spacing w:line="240" w:lineRule="auto" w:after="0"/>
              <w:ind w:firstLine="0"/>
            </w:pPr>
            <w:r>
              <w:rPr>
                <w:rFonts w:ascii="Times New Roman" w:hAnsi="Times New Roman" w:eastAsia="Times New Roman" w:cs="Times New Roman"/>
                <w:b w:val="0"/>
                <w:sz w:val="20"/>
              </w:rPr>
              <w:t>Максимум</w:t>
            </w:r>
          </w:p>
        </w:tc>
        <w:tc>
          <w:tcPr>
            <w:tcW w:type="dxa" w:w="3118"/>
          </w:tcPr>
          <w:p>
            <w:pPr>
              <w:spacing w:line="240" w:lineRule="auto" w:after="0"/>
              <w:ind w:firstLine="0"/>
            </w:pPr>
            <w:r>
              <w:rPr>
                <w:rFonts w:ascii="Times New Roman" w:hAnsi="Times New Roman" w:eastAsia="Times New Roman" w:cs="Times New Roman"/>
                <w:b w:val="0"/>
                <w:sz w:val="20"/>
              </w:rPr>
              <w:t>100 000</w:t>
            </w:r>
          </w:p>
        </w:tc>
        <w:tc>
          <w:tcPr>
            <w:tcW w:type="dxa" w:w="3118"/>
          </w:tcPr>
          <w:p>
            <w:pPr>
              <w:spacing w:line="240" w:lineRule="auto" w:after="0"/>
              <w:ind w:firstLine="0"/>
            </w:pPr>
            <w:r>
              <w:rPr>
                <w:rFonts w:ascii="Times New Roman" w:hAnsi="Times New Roman" w:eastAsia="Times New Roman" w:cs="Times New Roman"/>
                <w:b w:val="0"/>
                <w:sz w:val="20"/>
              </w:rPr>
              <w:t>2</w:t>
            </w:r>
          </w:p>
        </w:tc>
      </w:tr>
    </w:tbl>
    <w:p/>
    <w:p>
      <w:pPr>
        <w:spacing w:before="0" w:after="0"/>
        <w:ind w:firstLine="709" w:left="0"/>
      </w:pPr>
      <w:r>
        <w:rPr>
          <w:rFonts w:ascii="Times New Roman" w:hAnsi="Times New Roman" w:eastAsia="Times New Roman" w:cs="Times New Roman"/>
          <w:b w:val="0"/>
          <w:sz w:val="24"/>
        </w:rPr>
        <w:t>Дополнительные Позиции сверх Пула (п. 7.6 Оферты): от 10 (десяти) до 50 000 (пятидесяти тысяч) штук; стоимость дополнительной Позиции на Ступени «Старт» — 150 (сто пятьдесят) рублей, на Ступени «Стандарт» — 100 (сто) рублей, на остальных Ступенях — стоимость одной Позиции оплаченной Ступени.</w:t>
      </w:r>
    </w:p>
    <w:p>
      <w:pPr>
        <w:spacing w:before="0" w:after="0"/>
        <w:ind w:firstLine="709" w:left="0"/>
      </w:pPr>
      <w:r>
        <w:rPr>
          <w:rFonts w:ascii="Times New Roman" w:hAnsi="Times New Roman" w:eastAsia="Times New Roman" w:cs="Times New Roman"/>
          <w:b w:val="0"/>
          <w:sz w:val="24"/>
        </w:rPr>
        <w:t>Подключение Сайта поставщика (раздел 6, п. 7.10 Оферты): 2 500 (две тысячи пятьсот) рублей за одно подключение; срок действия подключений определяется п. 6.4 Оферты. Одновременно к Просчётам Заказчика может быть подключено не более 20 (двадцати) Сайтов поставщика; оплаченные подключения и подключения, предоставленные без дополнительной платы, суммируются.</w:t>
      </w:r>
    </w:p>
    <w:p>
      <w:pPr>
        <w:spacing w:before="0" w:after="0"/>
        <w:ind w:firstLine="709" w:left="0"/>
      </w:pPr>
      <w:r>
        <w:rPr>
          <w:rFonts w:ascii="Times New Roman" w:hAnsi="Times New Roman" w:eastAsia="Times New Roman" w:cs="Times New Roman"/>
          <w:b w:val="0"/>
          <w:sz w:val="24"/>
        </w:rPr>
        <w:t>Ограничения работы с поставщиками (п. 5.1 Оферты): не более 30 (тридцати) Запросов цен в сутки на одного Заказчика; не более 40 (сорока) Позиций в одном Запросе цен; не более 20 (двадцати) Поставщиков в одной отправке. Повторный Запрос цен одному и тому же Поставщику в течение одних суток не направляется.</w:t>
      </w:r>
    </w:p>
    <w:p>
      <w:pPr>
        <w:spacing w:before="0" w:after="0"/>
        <w:ind w:firstLine="709" w:left="0"/>
      </w:pPr>
      <w:r>
        <w:rPr>
          <w:rFonts w:ascii="Times New Roman" w:hAnsi="Times New Roman" w:eastAsia="Times New Roman" w:cs="Times New Roman"/>
          <w:b w:val="0"/>
          <w:sz w:val="24"/>
        </w:rPr>
        <w:t>Безвозмездный доступ (раздел 8 Оферты): Пробные Позиции — до 15 (пятнадцати) Позиций одной Закупки однократно каждому Пользователю без оплаченного доступа; Закупка выбирается первым Просчётом или первым Запросом цен по ней, и по ней же доступны Запросы цен Поставщикам; Демо-доступ — 50 (пятьдесят) Позиций на 7 (семь) календарных дней, открывается по решению Исполнителя, однократно в отношении одного Заказчика (одного идентификационного номера налогоплательщика) и одного Пользователя. При Безвозмездном доступе Сервис читает документы не более чем по 2 (двум) Закупкам в сутки.</w:t>
      </w:r>
    </w:p>
    <w:p>
      <w:pPr>
        <w:spacing w:before="0" w:after="0"/>
        <w:ind w:firstLine="709" w:left="0"/>
      </w:pPr>
      <w:r>
        <w:rPr>
          <w:rFonts w:ascii="Times New Roman" w:hAnsi="Times New Roman" w:eastAsia="Times New Roman" w:cs="Times New Roman"/>
          <w:b w:val="0"/>
          <w:sz w:val="24"/>
        </w:rPr>
        <w:t>Пользователи Заказчика и их роли (администратор, оператор, наблюдатель) дополнительной платой не облагаются, их количество не ограничено (п. 4.7 Оферты). Согласующий ролью Пользователя не является (п. 1.2, 4.2.1 и 4.7 Оферты).</w:t>
      </w:r>
    </w:p>
    <w:sectPr w:rsidR="00FC693F" w:rsidRPr="0006063C" w:rsidSect="00034616">
      <w:head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fldSimple w:instr=" PAGE ">
      <w: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dc:title>
  <dc:subject/>
  <dc:creator>ООО «ТЕНДИК»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